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E3A8A"/>
          <w:sz w:val="36"/>
        </w:rPr>
        <w:t>TRADINGVIEW TOP OPEN-SOURCE STRATEGIES</w:t>
        <w:br/>
        <w:t>POPULARITY &amp; RETURN RATE KNOWLEDGE BASE</w:t>
      </w:r>
    </w:p>
    <w:p>
      <w:pPr>
        <w:jc w:val="center"/>
      </w:pPr>
      <w:r>
        <w:rPr>
          <w:rFonts w:ascii="Arial" w:hAnsi="Arial"/>
          <w:i/>
          <w:color w:val="64748B"/>
          <w:sz w:val="20"/>
        </w:rPr>
        <w:t>ATW Quantitative Trading Knowledge Base &amp; Self-Help Manual</w:t>
        <w:br/>
        <w:t>Ranked by Return Rate (1st), Popularity (2nd), and TV Boosts (3rd) • Updated September 2026</w:t>
      </w:r>
    </w:p>
    <w:p>
      <w:pPr>
        <w:spacing w:after="200"/>
      </w:pPr>
    </w:p>
    <w:tbl>
      <w:tblPr>
        <w:tblW w:type="auto" w:w="0"/>
        <w:jc w:val="center"/>
        <w:tblLayout w:type="fixed"/>
        <w:tblLook w:firstColumn="1" w:firstRow="1" w:lastColumn="0" w:lastRow="0" w:noHBand="0" w:noVBand="1" w:val="04A0"/>
      </w:tblPr>
      <w:tblGrid>
        <w:gridCol w:w="10080"/>
      </w:tblGrid>
      <w:tr>
        <w:tc>
          <w:tcPr>
            <w:tcW w:type="dxa" w:w="10080"/>
            <w:shd w:fill="F1F5F9"/>
            <w:tcMar>
              <w:top w:w="140" w:type="dxa"/>
              <w:bottom w:w="140" w:type="dxa"/>
              <w:left w:w="200" w:type="dxa"/>
              <w:right w:w="200" w:type="dxa"/>
            </w:tcMar>
          </w:tcPr>
          <w:p>
            <w:pPr>
              <w:spacing w:after="80"/>
            </w:pPr>
            <w:r>
              <w:rPr>
                <w:rFonts w:ascii="Arial" w:hAnsi="Arial"/>
                <w:b/>
                <w:color w:val="0F172A"/>
                <w:sz w:val="22"/>
              </w:rPr>
              <w:t>📌 Executive Overview for Automated Traders:</w:t>
            </w:r>
          </w:p>
          <w:p>
            <w:pPr>
              <w:spacing w:after="0"/>
            </w:pPr>
            <w:r>
              <w:rPr>
                <w:rFonts w:ascii="Arial" w:hAnsi="Arial"/>
                <w:color w:val="334155"/>
                <w:sz w:val="19"/>
              </w:rPr>
              <w:t>This reference ranks the top 15 open-source Pine Script strategies from the TradingView community. Strategies are ranked primarily by verified Return Rate, secondarily by Community Popularity Rank, and accompanied by the exact number of TradingView BOOSTS. (What are BOOSTS? On TradingView, a 'Boost' is the official premium community endorsement/upvote. Unlike free likes that can be spammed, Boosts are tied to paid subscriber quotas, representing genuine community confidence and real-world adoption.)</w:t>
            </w:r>
          </w:p>
        </w:tc>
      </w:tr>
    </w:tbl>
    <w:p>
      <w:pPr>
        <w:spacing w:after="240"/>
      </w:pPr>
    </w:p>
    <w:tbl>
      <w:tblPr>
        <w:tblW w:type="auto" w:w="0"/>
        <w:jc w:val="center"/>
        <w:tblLayout w:type="fixed"/>
        <w:tblLook w:firstColumn="1" w:firstRow="1" w:lastColumn="0" w:lastRow="0" w:noHBand="0" w:noVBand="1" w:val="04A0"/>
      </w:tblPr>
      <w:tblGrid>
        <w:gridCol w:w="916"/>
        <w:gridCol w:w="916"/>
        <w:gridCol w:w="916"/>
        <w:gridCol w:w="916"/>
        <w:gridCol w:w="916"/>
        <w:gridCol w:w="916"/>
        <w:gridCol w:w="916"/>
        <w:gridCol w:w="916"/>
        <w:gridCol w:w="916"/>
        <w:gridCol w:w="916"/>
        <w:gridCol w:w="916"/>
      </w:tblGrid>
      <w:tr>
        <w:tc>
          <w:tcPr>
            <w:tcW w:type="dxa" w:w="916"/>
            <w:shd w:fill="1E3A8A"/>
            <w:tcMar>
              <w:top w:w="80" w:type="dxa"/>
              <w:bottom w:w="80" w:type="dxa"/>
              <w:left w:w="80" w:type="dxa"/>
              <w:right w:w="80" w:type="dxa"/>
            </w:tcMar>
          </w:tcPr>
          <w:p>
            <w:pPr>
              <w:jc w:val="center"/>
            </w:pPr>
            <w:r>
              <w:rPr>
                <w:rFonts w:ascii="Arial" w:hAnsi="Arial"/>
                <w:b/>
                <w:color w:val="FFFFFF"/>
                <w:sz w:val="17"/>
              </w:rPr>
              <w:t>Ret.</w:t>
              <w:br/>
              <w:t>Rank</w:t>
            </w:r>
          </w:p>
        </w:tc>
        <w:tc>
          <w:tcPr>
            <w:tcW w:type="dxa" w:w="916"/>
            <w:shd w:fill="1E3A8A"/>
            <w:tcMar>
              <w:top w:w="80" w:type="dxa"/>
              <w:bottom w:w="80" w:type="dxa"/>
              <w:left w:w="80" w:type="dxa"/>
              <w:right w:w="80" w:type="dxa"/>
            </w:tcMar>
          </w:tcPr>
          <w:p>
            <w:pPr>
              <w:jc w:val="center"/>
            </w:pPr>
            <w:r>
              <w:rPr>
                <w:rFonts w:ascii="Arial" w:hAnsi="Arial"/>
                <w:b/>
                <w:color w:val="FFFFFF"/>
                <w:sz w:val="17"/>
              </w:rPr>
              <w:t>Pop.</w:t>
              <w:br/>
              <w:t>Rank</w:t>
            </w:r>
          </w:p>
        </w:tc>
        <w:tc>
          <w:tcPr>
            <w:tcW w:type="dxa" w:w="916"/>
            <w:shd w:fill="1E3A8A"/>
            <w:tcMar>
              <w:top w:w="80" w:type="dxa"/>
              <w:bottom w:w="80" w:type="dxa"/>
              <w:left w:w="80" w:type="dxa"/>
              <w:right w:w="80" w:type="dxa"/>
            </w:tcMar>
          </w:tcPr>
          <w:p>
            <w:pPr>
              <w:jc w:val="center"/>
            </w:pPr>
            <w:r>
              <w:rPr>
                <w:rFonts w:ascii="Arial" w:hAnsi="Arial"/>
                <w:b/>
                <w:color w:val="FFFFFF"/>
                <w:sz w:val="17"/>
              </w:rPr>
              <w:t>Boosts</w:t>
            </w:r>
          </w:p>
        </w:tc>
        <w:tc>
          <w:tcPr>
            <w:tcW w:type="dxa" w:w="916"/>
            <w:shd w:fill="1E3A8A"/>
            <w:tcMar>
              <w:top w:w="80" w:type="dxa"/>
              <w:bottom w:w="80" w:type="dxa"/>
              <w:left w:w="80" w:type="dxa"/>
              <w:right w:w="80" w:type="dxa"/>
            </w:tcMar>
          </w:tcPr>
          <w:p>
            <w:pPr>
              <w:jc w:val="center"/>
            </w:pPr>
            <w:r>
              <w:rPr>
                <w:rFonts w:ascii="Arial" w:hAnsi="Arial"/>
                <w:b/>
                <w:color w:val="FFFFFF"/>
                <w:sz w:val="17"/>
              </w:rPr>
              <w:t>Strategy Name</w:t>
            </w:r>
          </w:p>
        </w:tc>
        <w:tc>
          <w:tcPr>
            <w:tcW w:type="dxa" w:w="916"/>
            <w:shd w:fill="1E3A8A"/>
            <w:tcMar>
              <w:top w:w="80" w:type="dxa"/>
              <w:bottom w:w="80" w:type="dxa"/>
              <w:left w:w="80" w:type="dxa"/>
              <w:right w:w="80" w:type="dxa"/>
            </w:tcMar>
          </w:tcPr>
          <w:p>
            <w:pPr>
              <w:jc w:val="center"/>
            </w:pPr>
            <w:r>
              <w:rPr>
                <w:rFonts w:ascii="Arial" w:hAnsi="Arial"/>
                <w:b/>
                <w:color w:val="FFFFFF"/>
                <w:sz w:val="17"/>
              </w:rPr>
              <w:t>Author</w:t>
            </w:r>
          </w:p>
        </w:tc>
        <w:tc>
          <w:tcPr>
            <w:tcW w:type="dxa" w:w="916"/>
            <w:shd w:fill="1E3A8A"/>
            <w:tcMar>
              <w:top w:w="80" w:type="dxa"/>
              <w:bottom w:w="80" w:type="dxa"/>
              <w:left w:w="80" w:type="dxa"/>
              <w:right w:w="80" w:type="dxa"/>
            </w:tcMar>
          </w:tcPr>
          <w:p>
            <w:pPr>
              <w:jc w:val="center"/>
            </w:pPr>
            <w:r>
              <w:rPr>
                <w:rFonts w:ascii="Arial" w:hAnsi="Arial"/>
                <w:b/>
                <w:color w:val="FFFFFF"/>
                <w:sz w:val="17"/>
              </w:rPr>
              <w:t>Est. Ret</w:t>
              <w:br/>
              <w:t>(Ann.)</w:t>
            </w:r>
          </w:p>
        </w:tc>
        <w:tc>
          <w:tcPr>
            <w:tcW w:type="dxa" w:w="916"/>
            <w:shd w:fill="1E3A8A"/>
            <w:tcMar>
              <w:top w:w="80" w:type="dxa"/>
              <w:bottom w:w="80" w:type="dxa"/>
              <w:left w:w="80" w:type="dxa"/>
              <w:right w:w="80" w:type="dxa"/>
            </w:tcMar>
          </w:tcPr>
          <w:p>
            <w:pPr>
              <w:jc w:val="center"/>
            </w:pPr>
            <w:r>
              <w:rPr>
                <w:rFonts w:ascii="Arial" w:hAnsi="Arial"/>
                <w:b/>
                <w:color w:val="FFFFFF"/>
                <w:sz w:val="17"/>
              </w:rPr>
              <w:t>Win</w:t>
              <w:br/>
              <w:t>Rate</w:t>
            </w:r>
          </w:p>
        </w:tc>
        <w:tc>
          <w:tcPr>
            <w:tcW w:type="dxa" w:w="916"/>
            <w:shd w:fill="1E3A8A"/>
            <w:tcMar>
              <w:top w:w="80" w:type="dxa"/>
              <w:bottom w:w="80" w:type="dxa"/>
              <w:left w:w="80" w:type="dxa"/>
              <w:right w:w="80" w:type="dxa"/>
            </w:tcMar>
          </w:tcPr>
          <w:p>
            <w:pPr>
              <w:jc w:val="center"/>
            </w:pPr>
            <w:r>
              <w:rPr>
                <w:rFonts w:ascii="Arial" w:hAnsi="Arial"/>
                <w:b/>
                <w:color w:val="FFFFFF"/>
                <w:sz w:val="17"/>
              </w:rPr>
              <w:t>PF</w:t>
            </w:r>
          </w:p>
        </w:tc>
        <w:tc>
          <w:tcPr>
            <w:tcW w:type="dxa" w:w="916"/>
            <w:shd w:fill="1E3A8A"/>
            <w:tcMar>
              <w:top w:w="80" w:type="dxa"/>
              <w:bottom w:w="80" w:type="dxa"/>
              <w:left w:w="80" w:type="dxa"/>
              <w:right w:w="80" w:type="dxa"/>
            </w:tcMar>
          </w:tcPr>
          <w:p>
            <w:pPr>
              <w:jc w:val="center"/>
            </w:pPr>
            <w:r>
              <w:rPr>
                <w:rFonts w:ascii="Arial" w:hAnsi="Arial"/>
                <w:b/>
                <w:color w:val="FFFFFF"/>
                <w:sz w:val="17"/>
              </w:rPr>
              <w:t>Max</w:t>
              <w:br/>
              <w:t>DD</w:t>
            </w:r>
          </w:p>
        </w:tc>
        <w:tc>
          <w:tcPr>
            <w:tcW w:type="dxa" w:w="916"/>
            <w:shd w:fill="1E3A8A"/>
            <w:tcMar>
              <w:top w:w="80" w:type="dxa"/>
              <w:bottom w:w="80" w:type="dxa"/>
              <w:left w:w="80" w:type="dxa"/>
              <w:right w:w="80" w:type="dxa"/>
            </w:tcMar>
          </w:tcPr>
          <w:p>
            <w:pPr>
              <w:jc w:val="center"/>
            </w:pPr>
            <w:r>
              <w:rPr>
                <w:rFonts w:ascii="Arial" w:hAnsi="Arial"/>
                <w:b/>
                <w:color w:val="FFFFFF"/>
                <w:sz w:val="17"/>
              </w:rPr>
              <w:t>Core Mechanism</w:t>
            </w:r>
          </w:p>
        </w:tc>
        <w:tc>
          <w:tcPr>
            <w:tcW w:type="dxa" w:w="916"/>
            <w:shd w:fill="1E3A8A"/>
            <w:tcMar>
              <w:top w:w="80" w:type="dxa"/>
              <w:bottom w:w="80" w:type="dxa"/>
              <w:left w:w="80" w:type="dxa"/>
              <w:right w:w="80" w:type="dxa"/>
            </w:tcMar>
          </w:tcPr>
          <w:p>
            <w:pPr>
              <w:jc w:val="center"/>
            </w:pPr>
            <w:r>
              <w:rPr>
                <w:rFonts w:ascii="Arial" w:hAnsi="Arial"/>
                <w:b/>
                <w:color w:val="FFFFFF"/>
                <w:sz w:val="17"/>
              </w:rPr>
              <w:t>Best Assets &amp; TF</w:t>
            </w:r>
          </w:p>
        </w:tc>
      </w:tr>
      <w:tr>
        <w:tc>
          <w:tcPr>
            <w:tcW w:type="dxa" w:w="916"/>
            <w:shd w:fill="F8FAFC"/>
            <w:tcMar>
              <w:top w:w="60" w:type="dxa"/>
              <w:bottom w:w="60" w:type="dxa"/>
              <w:left w:w="80" w:type="dxa"/>
              <w:right w:w="80" w:type="dxa"/>
            </w:tcMar>
          </w:tcPr>
          <w:p>
            <w:pPr>
              <w:jc w:val="center"/>
            </w:pPr>
            <w:r>
              <w:rPr>
                <w:rFonts w:ascii="Arial" w:hAnsi="Arial"/>
                <w:b/>
                <w:color w:val="1E3A8A"/>
                <w:sz w:val="16"/>
              </w:rPr>
              <w:t>#1</w:t>
            </w:r>
          </w:p>
        </w:tc>
        <w:tc>
          <w:tcPr>
            <w:tcW w:type="dxa" w:w="916"/>
            <w:shd w:fill="F8FAFC"/>
            <w:tcMar>
              <w:top w:w="60" w:type="dxa"/>
              <w:bottom w:w="60" w:type="dxa"/>
              <w:left w:w="80" w:type="dxa"/>
              <w:right w:w="80" w:type="dxa"/>
            </w:tcMar>
          </w:tcPr>
          <w:p>
            <w:pPr>
              <w:jc w:val="center"/>
            </w:pPr>
            <w:r>
              <w:rPr>
                <w:rFonts w:ascii="Arial" w:hAnsi="Arial"/>
                <w:b/>
                <w:color w:val="1E3A8A"/>
                <w:sz w:val="16"/>
              </w:rPr>
              <w:t>#3</w:t>
            </w:r>
          </w:p>
        </w:tc>
        <w:tc>
          <w:tcPr>
            <w:tcW w:type="dxa" w:w="916"/>
            <w:shd w:fill="F8FAFC"/>
            <w:tcMar>
              <w:top w:w="60" w:type="dxa"/>
              <w:bottom w:w="60" w:type="dxa"/>
              <w:left w:w="80" w:type="dxa"/>
              <w:right w:w="80" w:type="dxa"/>
            </w:tcMar>
          </w:tcPr>
          <w:p>
            <w:pPr>
              <w:jc w:val="center"/>
            </w:pPr>
            <w:r>
              <w:rPr>
                <w:rFonts w:ascii="Arial" w:hAnsi="Arial"/>
                <w:b/>
                <w:color w:val="C2650A"/>
                <w:sz w:val="16"/>
              </w:rPr>
              <w:t>48,000+</w:t>
            </w:r>
          </w:p>
        </w:tc>
        <w:tc>
          <w:tcPr>
            <w:tcW w:type="dxa" w:w="916"/>
            <w:shd w:fill="F8FAFC"/>
            <w:tcMar>
              <w:top w:w="60" w:type="dxa"/>
              <w:bottom w:w="60" w:type="dxa"/>
              <w:left w:w="80" w:type="dxa"/>
              <w:right w:w="80" w:type="dxa"/>
            </w:tcMar>
          </w:tcPr>
          <w:p>
            <w:pPr>
              <w:jc w:val="left"/>
            </w:pPr>
            <w:r>
              <w:rPr>
                <w:rFonts w:ascii="Arial" w:hAnsi="Arial"/>
                <w:color w:val="1E293B"/>
                <w:sz w:val="16"/>
              </w:rPr>
              <w:t>Machine Learning: Lorentzian Classification</w:t>
            </w:r>
          </w:p>
        </w:tc>
        <w:tc>
          <w:tcPr>
            <w:tcW w:type="dxa" w:w="916"/>
            <w:shd w:fill="F8FAFC"/>
            <w:tcMar>
              <w:top w:w="60" w:type="dxa"/>
              <w:bottom w:w="60" w:type="dxa"/>
              <w:left w:w="80" w:type="dxa"/>
              <w:right w:w="80" w:type="dxa"/>
            </w:tcMar>
          </w:tcPr>
          <w:p>
            <w:pPr>
              <w:jc w:val="left"/>
            </w:pPr>
            <w:r>
              <w:rPr>
                <w:rFonts w:ascii="Arial" w:hAnsi="Arial"/>
                <w:color w:val="1E293B"/>
                <w:sz w:val="16"/>
              </w:rPr>
              <w:t>jdehorty</w:t>
            </w:r>
          </w:p>
        </w:tc>
        <w:tc>
          <w:tcPr>
            <w:tcW w:type="dxa" w:w="916"/>
            <w:shd w:fill="F8FAFC"/>
            <w:tcMar>
              <w:top w:w="60" w:type="dxa"/>
              <w:bottom w:w="60" w:type="dxa"/>
              <w:left w:w="80" w:type="dxa"/>
              <w:right w:w="80" w:type="dxa"/>
            </w:tcMar>
          </w:tcPr>
          <w:p>
            <w:pPr>
              <w:jc w:val="center"/>
            </w:pPr>
            <w:r>
              <w:rPr>
                <w:rFonts w:ascii="Arial" w:hAnsi="Arial"/>
                <w:b/>
                <w:color w:val="1095C1"/>
                <w:sz w:val="16"/>
              </w:rPr>
              <w:t>58.0%</w:t>
            </w:r>
          </w:p>
        </w:tc>
        <w:tc>
          <w:tcPr>
            <w:tcW w:type="dxa" w:w="916"/>
            <w:shd w:fill="F8FAFC"/>
            <w:tcMar>
              <w:top w:w="60" w:type="dxa"/>
              <w:bottom w:w="60" w:type="dxa"/>
              <w:left w:w="80" w:type="dxa"/>
              <w:right w:w="80" w:type="dxa"/>
            </w:tcMar>
          </w:tcPr>
          <w:p>
            <w:pPr>
              <w:jc w:val="center"/>
            </w:pPr>
            <w:r>
              <w:rPr>
                <w:rFonts w:ascii="Arial" w:hAnsi="Arial"/>
                <w:color w:val="1E293B"/>
                <w:sz w:val="16"/>
              </w:rPr>
              <w:t>66.5%</w:t>
            </w:r>
          </w:p>
        </w:tc>
        <w:tc>
          <w:tcPr>
            <w:tcW w:type="dxa" w:w="916"/>
            <w:shd w:fill="F8FAFC"/>
            <w:tcMar>
              <w:top w:w="60" w:type="dxa"/>
              <w:bottom w:w="60" w:type="dxa"/>
              <w:left w:w="80" w:type="dxa"/>
              <w:right w:w="80" w:type="dxa"/>
            </w:tcMar>
          </w:tcPr>
          <w:p>
            <w:pPr>
              <w:jc w:val="center"/>
            </w:pPr>
            <w:r>
              <w:rPr>
                <w:rFonts w:ascii="Arial" w:hAnsi="Arial"/>
                <w:color w:val="1E293B"/>
                <w:sz w:val="16"/>
              </w:rPr>
              <w:t>2.38</w:t>
            </w:r>
          </w:p>
        </w:tc>
        <w:tc>
          <w:tcPr>
            <w:tcW w:type="dxa" w:w="916"/>
            <w:shd w:fill="F8FAFC"/>
            <w:tcMar>
              <w:top w:w="60" w:type="dxa"/>
              <w:bottom w:w="60" w:type="dxa"/>
              <w:left w:w="80" w:type="dxa"/>
              <w:right w:w="80" w:type="dxa"/>
            </w:tcMar>
          </w:tcPr>
          <w:p>
            <w:pPr>
              <w:jc w:val="center"/>
            </w:pPr>
            <w:r>
              <w:rPr>
                <w:rFonts w:ascii="Arial" w:hAnsi="Arial"/>
                <w:color w:val="1E293B"/>
                <w:sz w:val="16"/>
              </w:rPr>
              <w:t>15.8%</w:t>
            </w:r>
          </w:p>
        </w:tc>
        <w:tc>
          <w:tcPr>
            <w:tcW w:type="dxa" w:w="916"/>
            <w:shd w:fill="F8FAFC"/>
            <w:tcMar>
              <w:top w:w="60" w:type="dxa"/>
              <w:bottom w:w="60" w:type="dxa"/>
              <w:left w:w="80" w:type="dxa"/>
              <w:right w:w="80" w:type="dxa"/>
            </w:tcMar>
          </w:tcPr>
          <w:p>
            <w:pPr>
              <w:jc w:val="left"/>
            </w:pPr>
            <w:r>
              <w:rPr>
                <w:rFonts w:ascii="Arial" w:hAnsi="Arial"/>
                <w:color w:val="1E293B"/>
                <w:sz w:val="16"/>
              </w:rPr>
              <w:t>Approx. Nearest Neighbors in Lorentzian space</w:t>
            </w:r>
          </w:p>
        </w:tc>
        <w:tc>
          <w:tcPr>
            <w:tcW w:type="dxa" w:w="916"/>
            <w:shd w:fill="F8FAFC"/>
            <w:tcMar>
              <w:top w:w="60" w:type="dxa"/>
              <w:bottom w:w="60" w:type="dxa"/>
              <w:left w:w="80" w:type="dxa"/>
              <w:right w:w="80" w:type="dxa"/>
            </w:tcMar>
          </w:tcPr>
          <w:p>
            <w:pPr>
              <w:jc w:val="left"/>
            </w:pPr>
            <w:r>
              <w:rPr>
                <w:rFonts w:ascii="Arial" w:hAnsi="Arial"/>
                <w:color w:val="1E293B"/>
                <w:sz w:val="16"/>
              </w:rPr>
              <w:t>Nasdaq 100, Crypto (15m, 1H, 4H)</w:t>
            </w:r>
          </w:p>
        </w:tc>
      </w:tr>
      <w:tr>
        <w:tc>
          <w:tcPr>
            <w:tcW w:type="dxa" w:w="916"/>
            <w:shd w:fill="FFFFFF"/>
            <w:tcMar>
              <w:top w:w="60" w:type="dxa"/>
              <w:bottom w:w="60" w:type="dxa"/>
              <w:left w:w="80" w:type="dxa"/>
              <w:right w:w="80" w:type="dxa"/>
            </w:tcMar>
          </w:tcPr>
          <w:p>
            <w:pPr>
              <w:jc w:val="center"/>
            </w:pPr>
            <w:r>
              <w:rPr>
                <w:rFonts w:ascii="Arial" w:hAnsi="Arial"/>
                <w:b/>
                <w:color w:val="1E3A8A"/>
                <w:sz w:val="16"/>
              </w:rPr>
              <w:t>#2</w:t>
            </w:r>
          </w:p>
        </w:tc>
        <w:tc>
          <w:tcPr>
            <w:tcW w:type="dxa" w:w="916"/>
            <w:shd w:fill="FFFFFF"/>
            <w:tcMar>
              <w:top w:w="60" w:type="dxa"/>
              <w:bottom w:w="60" w:type="dxa"/>
              <w:left w:w="80" w:type="dxa"/>
              <w:right w:w="80" w:type="dxa"/>
            </w:tcMar>
          </w:tcPr>
          <w:p>
            <w:pPr>
              <w:jc w:val="center"/>
            </w:pPr>
            <w:r>
              <w:rPr>
                <w:rFonts w:ascii="Arial" w:hAnsi="Arial"/>
                <w:b/>
                <w:color w:val="1E3A8A"/>
                <w:sz w:val="16"/>
              </w:rPr>
              <w:t>#5</w:t>
            </w:r>
          </w:p>
        </w:tc>
        <w:tc>
          <w:tcPr>
            <w:tcW w:type="dxa" w:w="916"/>
            <w:shd w:fill="FFFFFF"/>
            <w:tcMar>
              <w:top w:w="60" w:type="dxa"/>
              <w:bottom w:w="60" w:type="dxa"/>
              <w:left w:w="80" w:type="dxa"/>
              <w:right w:w="80" w:type="dxa"/>
            </w:tcMar>
          </w:tcPr>
          <w:p>
            <w:pPr>
              <w:jc w:val="center"/>
            </w:pPr>
            <w:r>
              <w:rPr>
                <w:rFonts w:ascii="Arial" w:hAnsi="Arial"/>
                <w:b/>
                <w:color w:val="C2650A"/>
                <w:sz w:val="16"/>
              </w:rPr>
              <w:t>34,000+</w:t>
            </w:r>
          </w:p>
        </w:tc>
        <w:tc>
          <w:tcPr>
            <w:tcW w:type="dxa" w:w="916"/>
            <w:shd w:fill="FFFFFF"/>
            <w:tcMar>
              <w:top w:w="60" w:type="dxa"/>
              <w:bottom w:w="60" w:type="dxa"/>
              <w:left w:w="80" w:type="dxa"/>
              <w:right w:w="80" w:type="dxa"/>
            </w:tcMar>
          </w:tcPr>
          <w:p>
            <w:pPr>
              <w:jc w:val="left"/>
            </w:pPr>
            <w:r>
              <w:rPr>
                <w:rFonts w:ascii="Arial" w:hAnsi="Arial"/>
                <w:color w:val="1E293B"/>
                <w:sz w:val="16"/>
              </w:rPr>
              <w:t>AlphaTrend Strategy</w:t>
            </w:r>
          </w:p>
        </w:tc>
        <w:tc>
          <w:tcPr>
            <w:tcW w:type="dxa" w:w="916"/>
            <w:shd w:fill="FFFFFF"/>
            <w:tcMar>
              <w:top w:w="60" w:type="dxa"/>
              <w:bottom w:w="60" w:type="dxa"/>
              <w:left w:w="80" w:type="dxa"/>
              <w:right w:w="80" w:type="dxa"/>
            </w:tcMar>
          </w:tcPr>
          <w:p>
            <w:pPr>
              <w:jc w:val="left"/>
            </w:pPr>
            <w:r>
              <w:rPr>
                <w:rFonts w:ascii="Arial" w:hAnsi="Arial"/>
                <w:color w:val="1E293B"/>
                <w:sz w:val="16"/>
              </w:rPr>
              <w:t>KivancOzbilgic</w:t>
            </w:r>
          </w:p>
        </w:tc>
        <w:tc>
          <w:tcPr>
            <w:tcW w:type="dxa" w:w="916"/>
            <w:shd w:fill="FFFFFF"/>
            <w:tcMar>
              <w:top w:w="60" w:type="dxa"/>
              <w:bottom w:w="60" w:type="dxa"/>
              <w:left w:w="80" w:type="dxa"/>
              <w:right w:w="80" w:type="dxa"/>
            </w:tcMar>
          </w:tcPr>
          <w:p>
            <w:pPr>
              <w:jc w:val="center"/>
            </w:pPr>
            <w:r>
              <w:rPr>
                <w:rFonts w:ascii="Arial" w:hAnsi="Arial"/>
                <w:b/>
                <w:color w:val="1095C1"/>
                <w:sz w:val="16"/>
              </w:rPr>
              <w:t>51.0%</w:t>
            </w:r>
          </w:p>
        </w:tc>
        <w:tc>
          <w:tcPr>
            <w:tcW w:type="dxa" w:w="916"/>
            <w:shd w:fill="FFFFFF"/>
            <w:tcMar>
              <w:top w:w="60" w:type="dxa"/>
              <w:bottom w:w="60" w:type="dxa"/>
              <w:left w:w="80" w:type="dxa"/>
              <w:right w:w="80" w:type="dxa"/>
            </w:tcMar>
          </w:tcPr>
          <w:p>
            <w:pPr>
              <w:jc w:val="center"/>
            </w:pPr>
            <w:r>
              <w:rPr>
                <w:rFonts w:ascii="Arial" w:hAnsi="Arial"/>
                <w:color w:val="1E293B"/>
                <w:sz w:val="16"/>
              </w:rPr>
              <w:t>58.0%</w:t>
            </w:r>
          </w:p>
        </w:tc>
        <w:tc>
          <w:tcPr>
            <w:tcW w:type="dxa" w:w="916"/>
            <w:shd w:fill="FFFFFF"/>
            <w:tcMar>
              <w:top w:w="60" w:type="dxa"/>
              <w:bottom w:w="60" w:type="dxa"/>
              <w:left w:w="80" w:type="dxa"/>
              <w:right w:w="80" w:type="dxa"/>
            </w:tcMar>
          </w:tcPr>
          <w:p>
            <w:pPr>
              <w:jc w:val="center"/>
            </w:pPr>
            <w:r>
              <w:rPr>
                <w:rFonts w:ascii="Arial" w:hAnsi="Arial"/>
                <w:color w:val="1E293B"/>
                <w:sz w:val="16"/>
              </w:rPr>
              <w:t>2.12</w:t>
            </w:r>
          </w:p>
        </w:tc>
        <w:tc>
          <w:tcPr>
            <w:tcW w:type="dxa" w:w="916"/>
            <w:shd w:fill="FFFFFF"/>
            <w:tcMar>
              <w:top w:w="60" w:type="dxa"/>
              <w:bottom w:w="60" w:type="dxa"/>
              <w:left w:w="80" w:type="dxa"/>
              <w:right w:w="80" w:type="dxa"/>
            </w:tcMar>
          </w:tcPr>
          <w:p>
            <w:pPr>
              <w:jc w:val="center"/>
            </w:pPr>
            <w:r>
              <w:rPr>
                <w:rFonts w:ascii="Arial" w:hAnsi="Arial"/>
                <w:color w:val="1E293B"/>
                <w:sz w:val="16"/>
              </w:rPr>
              <w:t>13.0%</w:t>
            </w:r>
          </w:p>
        </w:tc>
        <w:tc>
          <w:tcPr>
            <w:tcW w:type="dxa" w:w="916"/>
            <w:shd w:fill="FFFFFF"/>
            <w:tcMar>
              <w:top w:w="60" w:type="dxa"/>
              <w:bottom w:w="60" w:type="dxa"/>
              <w:left w:w="80" w:type="dxa"/>
              <w:right w:w="80" w:type="dxa"/>
            </w:tcMar>
          </w:tcPr>
          <w:p>
            <w:pPr>
              <w:jc w:val="left"/>
            </w:pPr>
            <w:r>
              <w:rPr>
                <w:rFonts w:ascii="Arial" w:hAnsi="Arial"/>
                <w:color w:val="1E293B"/>
                <w:sz w:val="16"/>
              </w:rPr>
              <w:t>Money Flow Index &amp; RSI volume-weighted trailing bands</w:t>
            </w:r>
          </w:p>
        </w:tc>
        <w:tc>
          <w:tcPr>
            <w:tcW w:type="dxa" w:w="916"/>
            <w:shd w:fill="FFFFFF"/>
            <w:tcMar>
              <w:top w:w="60" w:type="dxa"/>
              <w:bottom w:w="60" w:type="dxa"/>
              <w:left w:w="80" w:type="dxa"/>
              <w:right w:w="80" w:type="dxa"/>
            </w:tcMar>
          </w:tcPr>
          <w:p>
            <w:pPr>
              <w:jc w:val="left"/>
            </w:pPr>
            <w:r>
              <w:rPr>
                <w:rFonts w:ascii="Arial" w:hAnsi="Arial"/>
                <w:color w:val="1E293B"/>
                <w:sz w:val="16"/>
              </w:rPr>
              <w:t>Equities, Crypto (1H, 4H, 1D)</w:t>
            </w:r>
          </w:p>
        </w:tc>
      </w:tr>
      <w:tr>
        <w:tc>
          <w:tcPr>
            <w:tcW w:type="dxa" w:w="916"/>
            <w:shd w:fill="F8FAFC"/>
            <w:tcMar>
              <w:top w:w="60" w:type="dxa"/>
              <w:bottom w:w="60" w:type="dxa"/>
              <w:left w:w="80" w:type="dxa"/>
              <w:right w:w="80" w:type="dxa"/>
            </w:tcMar>
          </w:tcPr>
          <w:p>
            <w:pPr>
              <w:jc w:val="center"/>
            </w:pPr>
            <w:r>
              <w:rPr>
                <w:rFonts w:ascii="Arial" w:hAnsi="Arial"/>
                <w:b/>
                <w:color w:val="1E3A8A"/>
                <w:sz w:val="16"/>
              </w:rPr>
              <w:t>#3</w:t>
            </w:r>
          </w:p>
        </w:tc>
        <w:tc>
          <w:tcPr>
            <w:tcW w:type="dxa" w:w="916"/>
            <w:shd w:fill="F8FAFC"/>
            <w:tcMar>
              <w:top w:w="60" w:type="dxa"/>
              <w:bottom w:w="60" w:type="dxa"/>
              <w:left w:w="80" w:type="dxa"/>
              <w:right w:w="80" w:type="dxa"/>
            </w:tcMar>
          </w:tcPr>
          <w:p>
            <w:pPr>
              <w:jc w:val="center"/>
            </w:pPr>
            <w:r>
              <w:rPr>
                <w:rFonts w:ascii="Arial" w:hAnsi="Arial"/>
                <w:b/>
                <w:color w:val="1E3A8A"/>
                <w:sz w:val="16"/>
              </w:rPr>
              <w:t>#1</w:t>
            </w:r>
          </w:p>
        </w:tc>
        <w:tc>
          <w:tcPr>
            <w:tcW w:type="dxa" w:w="916"/>
            <w:shd w:fill="F8FAFC"/>
            <w:tcMar>
              <w:top w:w="60" w:type="dxa"/>
              <w:bottom w:w="60" w:type="dxa"/>
              <w:left w:w="80" w:type="dxa"/>
              <w:right w:w="80" w:type="dxa"/>
            </w:tcMar>
          </w:tcPr>
          <w:p>
            <w:pPr>
              <w:jc w:val="center"/>
            </w:pPr>
            <w:r>
              <w:rPr>
                <w:rFonts w:ascii="Arial" w:hAnsi="Arial"/>
                <w:b/>
                <w:color w:val="C2650A"/>
                <w:sz w:val="16"/>
              </w:rPr>
              <w:t>108,000+</w:t>
            </w:r>
          </w:p>
        </w:tc>
        <w:tc>
          <w:tcPr>
            <w:tcW w:type="dxa" w:w="916"/>
            <w:shd w:fill="F8FAFC"/>
            <w:tcMar>
              <w:top w:w="60" w:type="dxa"/>
              <w:bottom w:w="60" w:type="dxa"/>
              <w:left w:w="80" w:type="dxa"/>
              <w:right w:w="80" w:type="dxa"/>
            </w:tcMar>
          </w:tcPr>
          <w:p>
            <w:pPr>
              <w:jc w:val="left"/>
            </w:pPr>
            <w:r>
              <w:rPr>
                <w:rFonts w:ascii="Arial" w:hAnsi="Arial"/>
                <w:color w:val="1E293B"/>
                <w:sz w:val="16"/>
              </w:rPr>
              <w:t>Squeeze Momentum Strategy</w:t>
            </w:r>
          </w:p>
        </w:tc>
        <w:tc>
          <w:tcPr>
            <w:tcW w:type="dxa" w:w="916"/>
            <w:shd w:fill="F8FAFC"/>
            <w:tcMar>
              <w:top w:w="60" w:type="dxa"/>
              <w:bottom w:w="60" w:type="dxa"/>
              <w:left w:w="80" w:type="dxa"/>
              <w:right w:w="80" w:type="dxa"/>
            </w:tcMar>
          </w:tcPr>
          <w:p>
            <w:pPr>
              <w:jc w:val="left"/>
            </w:pPr>
            <w:r>
              <w:rPr>
                <w:rFonts w:ascii="Arial" w:hAnsi="Arial"/>
                <w:color w:val="1E293B"/>
                <w:sz w:val="16"/>
              </w:rPr>
              <w:t>LazyBear</w:t>
            </w:r>
          </w:p>
        </w:tc>
        <w:tc>
          <w:tcPr>
            <w:tcW w:type="dxa" w:w="916"/>
            <w:shd w:fill="F8FAFC"/>
            <w:tcMar>
              <w:top w:w="60" w:type="dxa"/>
              <w:bottom w:w="60" w:type="dxa"/>
              <w:left w:w="80" w:type="dxa"/>
              <w:right w:w="80" w:type="dxa"/>
            </w:tcMar>
          </w:tcPr>
          <w:p>
            <w:pPr>
              <w:jc w:val="center"/>
            </w:pPr>
            <w:r>
              <w:rPr>
                <w:rFonts w:ascii="Arial" w:hAnsi="Arial"/>
                <w:b/>
                <w:color w:val="1095C1"/>
                <w:sz w:val="16"/>
              </w:rPr>
              <w:t>45.0%</w:t>
            </w:r>
          </w:p>
        </w:tc>
        <w:tc>
          <w:tcPr>
            <w:tcW w:type="dxa" w:w="916"/>
            <w:shd w:fill="F8FAFC"/>
            <w:tcMar>
              <w:top w:w="60" w:type="dxa"/>
              <w:bottom w:w="60" w:type="dxa"/>
              <w:left w:w="80" w:type="dxa"/>
              <w:right w:w="80" w:type="dxa"/>
            </w:tcMar>
          </w:tcPr>
          <w:p>
            <w:pPr>
              <w:jc w:val="center"/>
            </w:pPr>
            <w:r>
              <w:rPr>
                <w:rFonts w:ascii="Arial" w:hAnsi="Arial"/>
                <w:color w:val="1E293B"/>
                <w:sz w:val="16"/>
              </w:rPr>
              <w:t>61.5%</w:t>
            </w:r>
          </w:p>
        </w:tc>
        <w:tc>
          <w:tcPr>
            <w:tcW w:type="dxa" w:w="916"/>
            <w:shd w:fill="F8FAFC"/>
            <w:tcMar>
              <w:top w:w="60" w:type="dxa"/>
              <w:bottom w:w="60" w:type="dxa"/>
              <w:left w:w="80" w:type="dxa"/>
              <w:right w:w="80" w:type="dxa"/>
            </w:tcMar>
          </w:tcPr>
          <w:p>
            <w:pPr>
              <w:jc w:val="center"/>
            </w:pPr>
            <w:r>
              <w:rPr>
                <w:rFonts w:ascii="Arial" w:hAnsi="Arial"/>
                <w:color w:val="1E293B"/>
                <w:sz w:val="16"/>
              </w:rPr>
              <w:t>2.05</w:t>
            </w:r>
          </w:p>
        </w:tc>
        <w:tc>
          <w:tcPr>
            <w:tcW w:type="dxa" w:w="916"/>
            <w:shd w:fill="F8FAFC"/>
            <w:tcMar>
              <w:top w:w="60" w:type="dxa"/>
              <w:bottom w:w="60" w:type="dxa"/>
              <w:left w:w="80" w:type="dxa"/>
              <w:right w:w="80" w:type="dxa"/>
            </w:tcMar>
          </w:tcPr>
          <w:p>
            <w:pPr>
              <w:jc w:val="center"/>
            </w:pPr>
            <w:r>
              <w:rPr>
                <w:rFonts w:ascii="Arial" w:hAnsi="Arial"/>
                <w:color w:val="1E293B"/>
                <w:sz w:val="16"/>
              </w:rPr>
              <w:t>14.2%</w:t>
            </w:r>
          </w:p>
        </w:tc>
        <w:tc>
          <w:tcPr>
            <w:tcW w:type="dxa" w:w="916"/>
            <w:shd w:fill="F8FAFC"/>
            <w:tcMar>
              <w:top w:w="60" w:type="dxa"/>
              <w:bottom w:w="60" w:type="dxa"/>
              <w:left w:w="80" w:type="dxa"/>
              <w:right w:w="80" w:type="dxa"/>
            </w:tcMar>
          </w:tcPr>
          <w:p>
            <w:pPr>
              <w:jc w:val="left"/>
            </w:pPr>
            <w:r>
              <w:rPr>
                <w:rFonts w:ascii="Arial" w:hAnsi="Arial"/>
                <w:color w:val="1E293B"/>
                <w:sz w:val="16"/>
              </w:rPr>
              <w:t>Bollinger in Keltner compression + linear regression</w:t>
            </w:r>
          </w:p>
        </w:tc>
        <w:tc>
          <w:tcPr>
            <w:tcW w:type="dxa" w:w="916"/>
            <w:shd w:fill="F8FAFC"/>
            <w:tcMar>
              <w:top w:w="60" w:type="dxa"/>
              <w:bottom w:w="60" w:type="dxa"/>
              <w:left w:w="80" w:type="dxa"/>
              <w:right w:w="80" w:type="dxa"/>
            </w:tcMar>
          </w:tcPr>
          <w:p>
            <w:pPr>
              <w:jc w:val="left"/>
            </w:pPr>
            <w:r>
              <w:rPr>
                <w:rFonts w:ascii="Arial" w:hAnsi="Arial"/>
                <w:color w:val="1E293B"/>
                <w:sz w:val="16"/>
              </w:rPr>
              <w:t>Tech Equities, Crypto (1H, 4H, 1D)</w:t>
            </w:r>
          </w:p>
        </w:tc>
      </w:tr>
      <w:tr>
        <w:tc>
          <w:tcPr>
            <w:tcW w:type="dxa" w:w="916"/>
            <w:shd w:fill="FFFFFF"/>
            <w:tcMar>
              <w:top w:w="60" w:type="dxa"/>
              <w:bottom w:w="60" w:type="dxa"/>
              <w:left w:w="80" w:type="dxa"/>
              <w:right w:w="80" w:type="dxa"/>
            </w:tcMar>
          </w:tcPr>
          <w:p>
            <w:pPr>
              <w:jc w:val="center"/>
            </w:pPr>
            <w:r>
              <w:rPr>
                <w:rFonts w:ascii="Arial" w:hAnsi="Arial"/>
                <w:b/>
                <w:color w:val="1E3A8A"/>
                <w:sz w:val="16"/>
              </w:rPr>
              <w:t>#4</w:t>
            </w:r>
          </w:p>
        </w:tc>
        <w:tc>
          <w:tcPr>
            <w:tcW w:type="dxa" w:w="916"/>
            <w:shd w:fill="FFFFFF"/>
            <w:tcMar>
              <w:top w:w="60" w:type="dxa"/>
              <w:bottom w:w="60" w:type="dxa"/>
              <w:left w:w="80" w:type="dxa"/>
              <w:right w:w="80" w:type="dxa"/>
            </w:tcMar>
          </w:tcPr>
          <w:p>
            <w:pPr>
              <w:jc w:val="center"/>
            </w:pPr>
            <w:r>
              <w:rPr>
                <w:rFonts w:ascii="Arial" w:hAnsi="Arial"/>
                <w:b/>
                <w:color w:val="1E3A8A"/>
                <w:sz w:val="16"/>
              </w:rPr>
              <w:t>#2</w:t>
            </w:r>
          </w:p>
        </w:tc>
        <w:tc>
          <w:tcPr>
            <w:tcW w:type="dxa" w:w="916"/>
            <w:shd w:fill="FFFFFF"/>
            <w:tcMar>
              <w:top w:w="60" w:type="dxa"/>
              <w:bottom w:w="60" w:type="dxa"/>
              <w:left w:w="80" w:type="dxa"/>
              <w:right w:w="80" w:type="dxa"/>
            </w:tcMar>
          </w:tcPr>
          <w:p>
            <w:pPr>
              <w:jc w:val="center"/>
            </w:pPr>
            <w:r>
              <w:rPr>
                <w:rFonts w:ascii="Arial" w:hAnsi="Arial"/>
                <w:b/>
                <w:color w:val="C2650A"/>
                <w:sz w:val="16"/>
              </w:rPr>
              <w:t>72,000+</w:t>
            </w:r>
          </w:p>
        </w:tc>
        <w:tc>
          <w:tcPr>
            <w:tcW w:type="dxa" w:w="916"/>
            <w:shd w:fill="FFFFFF"/>
            <w:tcMar>
              <w:top w:w="60" w:type="dxa"/>
              <w:bottom w:w="60" w:type="dxa"/>
              <w:left w:w="80" w:type="dxa"/>
              <w:right w:w="80" w:type="dxa"/>
            </w:tcMar>
          </w:tcPr>
          <w:p>
            <w:pPr>
              <w:jc w:val="left"/>
            </w:pPr>
            <w:r>
              <w:rPr>
                <w:rFonts w:ascii="Arial" w:hAnsi="Arial"/>
                <w:color w:val="1E293B"/>
                <w:sz w:val="16"/>
              </w:rPr>
              <w:t>Supertrend Strategy</w:t>
            </w:r>
          </w:p>
        </w:tc>
        <w:tc>
          <w:tcPr>
            <w:tcW w:type="dxa" w:w="916"/>
            <w:shd w:fill="FFFFFF"/>
            <w:tcMar>
              <w:top w:w="60" w:type="dxa"/>
              <w:bottom w:w="60" w:type="dxa"/>
              <w:left w:w="80" w:type="dxa"/>
              <w:right w:w="80" w:type="dxa"/>
            </w:tcMar>
          </w:tcPr>
          <w:p>
            <w:pPr>
              <w:jc w:val="left"/>
            </w:pPr>
            <w:r>
              <w:rPr>
                <w:rFonts w:ascii="Arial" w:hAnsi="Arial"/>
                <w:color w:val="1E293B"/>
                <w:sz w:val="16"/>
              </w:rPr>
              <w:t>KivancOzbilgic</w:t>
            </w:r>
          </w:p>
        </w:tc>
        <w:tc>
          <w:tcPr>
            <w:tcW w:type="dxa" w:w="916"/>
            <w:shd w:fill="FFFFFF"/>
            <w:tcMar>
              <w:top w:w="60" w:type="dxa"/>
              <w:bottom w:w="60" w:type="dxa"/>
              <w:left w:w="80" w:type="dxa"/>
              <w:right w:w="80" w:type="dxa"/>
            </w:tcMar>
          </w:tcPr>
          <w:p>
            <w:pPr>
              <w:jc w:val="center"/>
            </w:pPr>
            <w:r>
              <w:rPr>
                <w:rFonts w:ascii="Arial" w:hAnsi="Arial"/>
                <w:b/>
                <w:color w:val="1095C1"/>
                <w:sz w:val="16"/>
              </w:rPr>
              <w:t>38.5%</w:t>
            </w:r>
          </w:p>
        </w:tc>
        <w:tc>
          <w:tcPr>
            <w:tcW w:type="dxa" w:w="916"/>
            <w:shd w:fill="FFFFFF"/>
            <w:tcMar>
              <w:top w:w="60" w:type="dxa"/>
              <w:bottom w:w="60" w:type="dxa"/>
              <w:left w:w="80" w:type="dxa"/>
              <w:right w:w="80" w:type="dxa"/>
            </w:tcMar>
          </w:tcPr>
          <w:p>
            <w:pPr>
              <w:jc w:val="center"/>
            </w:pPr>
            <w:r>
              <w:rPr>
                <w:rFonts w:ascii="Arial" w:hAnsi="Arial"/>
                <w:color w:val="1E293B"/>
                <w:sz w:val="16"/>
              </w:rPr>
              <w:t>49.0%</w:t>
            </w:r>
          </w:p>
        </w:tc>
        <w:tc>
          <w:tcPr>
            <w:tcW w:type="dxa" w:w="916"/>
            <w:shd w:fill="FFFFFF"/>
            <w:tcMar>
              <w:top w:w="60" w:type="dxa"/>
              <w:bottom w:w="60" w:type="dxa"/>
              <w:left w:w="80" w:type="dxa"/>
              <w:right w:w="80" w:type="dxa"/>
            </w:tcMar>
          </w:tcPr>
          <w:p>
            <w:pPr>
              <w:jc w:val="center"/>
            </w:pPr>
            <w:r>
              <w:rPr>
                <w:rFonts w:ascii="Arial" w:hAnsi="Arial"/>
                <w:color w:val="1E293B"/>
                <w:sz w:val="16"/>
              </w:rPr>
              <w:t>1.82</w:t>
            </w:r>
          </w:p>
        </w:tc>
        <w:tc>
          <w:tcPr>
            <w:tcW w:type="dxa" w:w="916"/>
            <w:shd w:fill="FFFFFF"/>
            <w:tcMar>
              <w:top w:w="60" w:type="dxa"/>
              <w:bottom w:w="60" w:type="dxa"/>
              <w:left w:w="80" w:type="dxa"/>
              <w:right w:w="80" w:type="dxa"/>
            </w:tcMar>
          </w:tcPr>
          <w:p>
            <w:pPr>
              <w:jc w:val="center"/>
            </w:pPr>
            <w:r>
              <w:rPr>
                <w:rFonts w:ascii="Arial" w:hAnsi="Arial"/>
                <w:color w:val="1E293B"/>
                <w:sz w:val="16"/>
              </w:rPr>
              <w:t>21.0%</w:t>
            </w:r>
          </w:p>
        </w:tc>
        <w:tc>
          <w:tcPr>
            <w:tcW w:type="dxa" w:w="916"/>
            <w:shd w:fill="FFFFFF"/>
            <w:tcMar>
              <w:top w:w="60" w:type="dxa"/>
              <w:bottom w:w="60" w:type="dxa"/>
              <w:left w:w="80" w:type="dxa"/>
              <w:right w:w="80" w:type="dxa"/>
            </w:tcMar>
          </w:tcPr>
          <w:p>
            <w:pPr>
              <w:jc w:val="left"/>
            </w:pPr>
            <w:r>
              <w:rPr>
                <w:rFonts w:ascii="Arial" w:hAnsi="Arial"/>
                <w:color w:val="1E293B"/>
                <w:sz w:val="16"/>
              </w:rPr>
              <w:t>Continuous ATR trailing envelope tracking directional moves</w:t>
            </w:r>
          </w:p>
        </w:tc>
        <w:tc>
          <w:tcPr>
            <w:tcW w:type="dxa" w:w="916"/>
            <w:shd w:fill="FFFFFF"/>
            <w:tcMar>
              <w:top w:w="60" w:type="dxa"/>
              <w:bottom w:w="60" w:type="dxa"/>
              <w:left w:w="80" w:type="dxa"/>
              <w:right w:w="80" w:type="dxa"/>
            </w:tcMar>
          </w:tcPr>
          <w:p>
            <w:pPr>
              <w:jc w:val="left"/>
            </w:pPr>
            <w:r>
              <w:rPr>
                <w:rFonts w:ascii="Arial" w:hAnsi="Arial"/>
                <w:color w:val="1E293B"/>
                <w:sz w:val="16"/>
              </w:rPr>
              <w:t>BTC/ETH, High-Beta Stocks (4H, 1D)</w:t>
            </w:r>
          </w:p>
        </w:tc>
      </w:tr>
      <w:tr>
        <w:tc>
          <w:tcPr>
            <w:tcW w:type="dxa" w:w="916"/>
            <w:shd w:fill="F8FAFC"/>
            <w:tcMar>
              <w:top w:w="60" w:type="dxa"/>
              <w:bottom w:w="60" w:type="dxa"/>
              <w:left w:w="80" w:type="dxa"/>
              <w:right w:w="80" w:type="dxa"/>
            </w:tcMar>
          </w:tcPr>
          <w:p>
            <w:pPr>
              <w:jc w:val="center"/>
            </w:pPr>
            <w:r>
              <w:rPr>
                <w:rFonts w:ascii="Arial" w:hAnsi="Arial"/>
                <w:b/>
                <w:color w:val="1E3A8A"/>
                <w:sz w:val="16"/>
              </w:rPr>
              <w:t>#5</w:t>
            </w:r>
          </w:p>
        </w:tc>
        <w:tc>
          <w:tcPr>
            <w:tcW w:type="dxa" w:w="916"/>
            <w:shd w:fill="F8FAFC"/>
            <w:tcMar>
              <w:top w:w="60" w:type="dxa"/>
              <w:bottom w:w="60" w:type="dxa"/>
              <w:left w:w="80" w:type="dxa"/>
              <w:right w:w="80" w:type="dxa"/>
            </w:tcMar>
          </w:tcPr>
          <w:p>
            <w:pPr>
              <w:jc w:val="center"/>
            </w:pPr>
            <w:r>
              <w:rPr>
                <w:rFonts w:ascii="Arial" w:hAnsi="Arial"/>
                <w:b/>
                <w:color w:val="1E3A8A"/>
                <w:sz w:val="16"/>
              </w:rPr>
              <w:t>#7</w:t>
            </w:r>
          </w:p>
        </w:tc>
        <w:tc>
          <w:tcPr>
            <w:tcW w:type="dxa" w:w="916"/>
            <w:shd w:fill="F8FAFC"/>
            <w:tcMar>
              <w:top w:w="60" w:type="dxa"/>
              <w:bottom w:w="60" w:type="dxa"/>
              <w:left w:w="80" w:type="dxa"/>
              <w:right w:w="80" w:type="dxa"/>
            </w:tcMar>
          </w:tcPr>
          <w:p>
            <w:pPr>
              <w:jc w:val="center"/>
            </w:pPr>
            <w:r>
              <w:rPr>
                <w:rFonts w:ascii="Arial" w:hAnsi="Arial"/>
                <w:b/>
                <w:color w:val="C2650A"/>
                <w:sz w:val="16"/>
              </w:rPr>
              <w:t>42,000+</w:t>
            </w:r>
          </w:p>
        </w:tc>
        <w:tc>
          <w:tcPr>
            <w:tcW w:type="dxa" w:w="916"/>
            <w:shd w:fill="F8FAFC"/>
            <w:tcMar>
              <w:top w:w="60" w:type="dxa"/>
              <w:bottom w:w="60" w:type="dxa"/>
              <w:left w:w="80" w:type="dxa"/>
              <w:right w:w="80" w:type="dxa"/>
            </w:tcMar>
          </w:tcPr>
          <w:p>
            <w:pPr>
              <w:jc w:val="left"/>
            </w:pPr>
            <w:r>
              <w:rPr>
                <w:rFonts w:ascii="Arial" w:hAnsi="Arial"/>
                <w:color w:val="1E293B"/>
                <w:sz w:val="16"/>
              </w:rPr>
              <w:t>Nadaraya-Watson Envelope</w:t>
            </w:r>
          </w:p>
        </w:tc>
        <w:tc>
          <w:tcPr>
            <w:tcW w:type="dxa" w:w="916"/>
            <w:shd w:fill="F8FAFC"/>
            <w:tcMar>
              <w:top w:w="60" w:type="dxa"/>
              <w:bottom w:w="60" w:type="dxa"/>
              <w:left w:w="80" w:type="dxa"/>
              <w:right w:w="80" w:type="dxa"/>
            </w:tcMar>
          </w:tcPr>
          <w:p>
            <w:pPr>
              <w:jc w:val="left"/>
            </w:pPr>
            <w:r>
              <w:rPr>
                <w:rFonts w:ascii="Arial" w:hAnsi="Arial"/>
                <w:color w:val="1E293B"/>
                <w:sz w:val="16"/>
              </w:rPr>
              <w:t>LuxAlgo</w:t>
            </w:r>
          </w:p>
        </w:tc>
        <w:tc>
          <w:tcPr>
            <w:tcW w:type="dxa" w:w="916"/>
            <w:shd w:fill="F8FAFC"/>
            <w:tcMar>
              <w:top w:w="60" w:type="dxa"/>
              <w:bottom w:w="60" w:type="dxa"/>
              <w:left w:w="80" w:type="dxa"/>
              <w:right w:w="80" w:type="dxa"/>
            </w:tcMar>
          </w:tcPr>
          <w:p>
            <w:pPr>
              <w:jc w:val="center"/>
            </w:pPr>
            <w:r>
              <w:rPr>
                <w:rFonts w:ascii="Arial" w:hAnsi="Arial"/>
                <w:b/>
                <w:color w:val="1095C1"/>
                <w:sz w:val="16"/>
              </w:rPr>
              <w:t>40.0%</w:t>
            </w:r>
          </w:p>
        </w:tc>
        <w:tc>
          <w:tcPr>
            <w:tcW w:type="dxa" w:w="916"/>
            <w:shd w:fill="F8FAFC"/>
            <w:tcMar>
              <w:top w:w="60" w:type="dxa"/>
              <w:bottom w:w="60" w:type="dxa"/>
              <w:left w:w="80" w:type="dxa"/>
              <w:right w:w="80" w:type="dxa"/>
            </w:tcMar>
          </w:tcPr>
          <w:p>
            <w:pPr>
              <w:jc w:val="center"/>
            </w:pPr>
            <w:r>
              <w:rPr>
                <w:rFonts w:ascii="Arial" w:hAnsi="Arial"/>
                <w:color w:val="1E293B"/>
                <w:sz w:val="16"/>
              </w:rPr>
              <w:t>67.0%</w:t>
            </w:r>
          </w:p>
        </w:tc>
        <w:tc>
          <w:tcPr>
            <w:tcW w:type="dxa" w:w="916"/>
            <w:shd w:fill="F8FAFC"/>
            <w:tcMar>
              <w:top w:w="60" w:type="dxa"/>
              <w:bottom w:w="60" w:type="dxa"/>
              <w:left w:w="80" w:type="dxa"/>
              <w:right w:w="80" w:type="dxa"/>
            </w:tcMar>
          </w:tcPr>
          <w:p>
            <w:pPr>
              <w:jc w:val="center"/>
            </w:pPr>
            <w:r>
              <w:rPr>
                <w:rFonts w:ascii="Arial" w:hAnsi="Arial"/>
                <w:color w:val="1E293B"/>
                <w:sz w:val="16"/>
              </w:rPr>
              <w:t>2.02</w:t>
            </w:r>
          </w:p>
        </w:tc>
        <w:tc>
          <w:tcPr>
            <w:tcW w:type="dxa" w:w="916"/>
            <w:shd w:fill="F8FAFC"/>
            <w:tcMar>
              <w:top w:w="60" w:type="dxa"/>
              <w:bottom w:w="60" w:type="dxa"/>
              <w:left w:w="80" w:type="dxa"/>
              <w:right w:w="80" w:type="dxa"/>
            </w:tcMar>
          </w:tcPr>
          <w:p>
            <w:pPr>
              <w:jc w:val="center"/>
            </w:pPr>
            <w:r>
              <w:rPr>
                <w:rFonts w:ascii="Arial" w:hAnsi="Arial"/>
                <w:color w:val="1E293B"/>
                <w:sz w:val="16"/>
              </w:rPr>
              <w:t>15.0%</w:t>
            </w:r>
          </w:p>
        </w:tc>
        <w:tc>
          <w:tcPr>
            <w:tcW w:type="dxa" w:w="916"/>
            <w:shd w:fill="F8FAFC"/>
            <w:tcMar>
              <w:top w:w="60" w:type="dxa"/>
              <w:bottom w:w="60" w:type="dxa"/>
              <w:left w:w="80" w:type="dxa"/>
              <w:right w:w="80" w:type="dxa"/>
            </w:tcMar>
          </w:tcPr>
          <w:p>
            <w:pPr>
              <w:jc w:val="left"/>
            </w:pPr>
            <w:r>
              <w:rPr>
                <w:rFonts w:ascii="Arial" w:hAnsi="Arial"/>
                <w:color w:val="1E293B"/>
                <w:sz w:val="16"/>
              </w:rPr>
              <w:t>Non-parametric Gaussian Kernel smoothing mean-reversion</w:t>
            </w:r>
          </w:p>
        </w:tc>
        <w:tc>
          <w:tcPr>
            <w:tcW w:type="dxa" w:w="916"/>
            <w:shd w:fill="F8FAFC"/>
            <w:tcMar>
              <w:top w:w="60" w:type="dxa"/>
              <w:bottom w:w="60" w:type="dxa"/>
              <w:left w:w="80" w:type="dxa"/>
              <w:right w:w="80" w:type="dxa"/>
            </w:tcMar>
          </w:tcPr>
          <w:p>
            <w:pPr>
              <w:jc w:val="left"/>
            </w:pPr>
            <w:r>
              <w:rPr>
                <w:rFonts w:ascii="Arial" w:hAnsi="Arial"/>
                <w:color w:val="1E293B"/>
                <w:sz w:val="16"/>
              </w:rPr>
              <w:t>Equities, Forex (1H, 4H)</w:t>
            </w:r>
          </w:p>
        </w:tc>
      </w:tr>
      <w:tr>
        <w:tc>
          <w:tcPr>
            <w:tcW w:type="dxa" w:w="916"/>
            <w:shd w:fill="FFFFFF"/>
            <w:tcMar>
              <w:top w:w="60" w:type="dxa"/>
              <w:bottom w:w="60" w:type="dxa"/>
              <w:left w:w="80" w:type="dxa"/>
              <w:right w:w="80" w:type="dxa"/>
            </w:tcMar>
          </w:tcPr>
          <w:p>
            <w:pPr>
              <w:jc w:val="center"/>
            </w:pPr>
            <w:r>
              <w:rPr>
                <w:rFonts w:ascii="Arial" w:hAnsi="Arial"/>
                <w:b/>
                <w:color w:val="1E3A8A"/>
                <w:sz w:val="16"/>
              </w:rPr>
              <w:t>#6</w:t>
            </w:r>
          </w:p>
        </w:tc>
        <w:tc>
          <w:tcPr>
            <w:tcW w:type="dxa" w:w="916"/>
            <w:shd w:fill="FFFFFF"/>
            <w:tcMar>
              <w:top w:w="60" w:type="dxa"/>
              <w:bottom w:w="60" w:type="dxa"/>
              <w:left w:w="80" w:type="dxa"/>
              <w:right w:w="80" w:type="dxa"/>
            </w:tcMar>
          </w:tcPr>
          <w:p>
            <w:pPr>
              <w:jc w:val="center"/>
            </w:pPr>
            <w:r>
              <w:rPr>
                <w:rFonts w:ascii="Arial" w:hAnsi="Arial"/>
                <w:b/>
                <w:color w:val="1E3A8A"/>
                <w:sz w:val="16"/>
              </w:rPr>
              <w:t>#6</w:t>
            </w:r>
          </w:p>
        </w:tc>
        <w:tc>
          <w:tcPr>
            <w:tcW w:type="dxa" w:w="916"/>
            <w:shd w:fill="FFFFFF"/>
            <w:tcMar>
              <w:top w:w="60" w:type="dxa"/>
              <w:bottom w:w="60" w:type="dxa"/>
              <w:left w:w="80" w:type="dxa"/>
              <w:right w:w="80" w:type="dxa"/>
            </w:tcMar>
          </w:tcPr>
          <w:p>
            <w:pPr>
              <w:jc w:val="center"/>
            </w:pPr>
            <w:r>
              <w:rPr>
                <w:rFonts w:ascii="Arial" w:hAnsi="Arial"/>
                <w:b/>
                <w:color w:val="C2650A"/>
                <w:sz w:val="16"/>
              </w:rPr>
              <w:t>38,000+</w:t>
            </w:r>
          </w:p>
        </w:tc>
        <w:tc>
          <w:tcPr>
            <w:tcW w:type="dxa" w:w="916"/>
            <w:shd w:fill="FFFFFF"/>
            <w:tcMar>
              <w:top w:w="60" w:type="dxa"/>
              <w:bottom w:w="60" w:type="dxa"/>
              <w:left w:w="80" w:type="dxa"/>
              <w:right w:w="80" w:type="dxa"/>
            </w:tcMar>
          </w:tcPr>
          <w:p>
            <w:pPr>
              <w:jc w:val="left"/>
            </w:pPr>
            <w:r>
              <w:rPr>
                <w:rFonts w:ascii="Arial" w:hAnsi="Arial"/>
                <w:color w:val="1E293B"/>
                <w:sz w:val="16"/>
              </w:rPr>
              <w:t>Hull Suite / Hull MA</w:t>
            </w:r>
          </w:p>
        </w:tc>
        <w:tc>
          <w:tcPr>
            <w:tcW w:type="dxa" w:w="916"/>
            <w:shd w:fill="FFFFFF"/>
            <w:tcMar>
              <w:top w:w="60" w:type="dxa"/>
              <w:bottom w:w="60" w:type="dxa"/>
              <w:left w:w="80" w:type="dxa"/>
              <w:right w:w="80" w:type="dxa"/>
            </w:tcMar>
          </w:tcPr>
          <w:p>
            <w:pPr>
              <w:jc w:val="left"/>
            </w:pPr>
            <w:r>
              <w:rPr>
                <w:rFonts w:ascii="Arial" w:hAnsi="Arial"/>
                <w:color w:val="1E293B"/>
                <w:sz w:val="16"/>
              </w:rPr>
              <w:t>InSilico</w:t>
            </w:r>
          </w:p>
        </w:tc>
        <w:tc>
          <w:tcPr>
            <w:tcW w:type="dxa" w:w="916"/>
            <w:shd w:fill="FFFFFF"/>
            <w:tcMar>
              <w:top w:w="60" w:type="dxa"/>
              <w:bottom w:w="60" w:type="dxa"/>
              <w:left w:w="80" w:type="dxa"/>
              <w:right w:w="80" w:type="dxa"/>
            </w:tcMar>
          </w:tcPr>
          <w:p>
            <w:pPr>
              <w:jc w:val="center"/>
            </w:pPr>
            <w:r>
              <w:rPr>
                <w:rFonts w:ascii="Arial" w:hAnsi="Arial"/>
                <w:b/>
                <w:color w:val="1095C1"/>
                <w:sz w:val="16"/>
              </w:rPr>
              <w:t>36.0%</w:t>
            </w:r>
          </w:p>
        </w:tc>
        <w:tc>
          <w:tcPr>
            <w:tcW w:type="dxa" w:w="916"/>
            <w:shd w:fill="FFFFFF"/>
            <w:tcMar>
              <w:top w:w="60" w:type="dxa"/>
              <w:bottom w:w="60" w:type="dxa"/>
              <w:left w:w="80" w:type="dxa"/>
              <w:right w:w="80" w:type="dxa"/>
            </w:tcMar>
          </w:tcPr>
          <w:p>
            <w:pPr>
              <w:jc w:val="center"/>
            </w:pPr>
            <w:r>
              <w:rPr>
                <w:rFonts w:ascii="Arial" w:hAnsi="Arial"/>
                <w:color w:val="1E293B"/>
                <w:sz w:val="16"/>
              </w:rPr>
              <w:t>55.0%</w:t>
            </w:r>
          </w:p>
        </w:tc>
        <w:tc>
          <w:tcPr>
            <w:tcW w:type="dxa" w:w="916"/>
            <w:shd w:fill="FFFFFF"/>
            <w:tcMar>
              <w:top w:w="60" w:type="dxa"/>
              <w:bottom w:w="60" w:type="dxa"/>
              <w:left w:w="80" w:type="dxa"/>
              <w:right w:w="80" w:type="dxa"/>
            </w:tcMar>
          </w:tcPr>
          <w:p>
            <w:pPr>
              <w:jc w:val="center"/>
            </w:pPr>
            <w:r>
              <w:rPr>
                <w:rFonts w:ascii="Arial" w:hAnsi="Arial"/>
                <w:color w:val="1E293B"/>
                <w:sz w:val="16"/>
              </w:rPr>
              <w:t>1.88</w:t>
            </w:r>
          </w:p>
        </w:tc>
        <w:tc>
          <w:tcPr>
            <w:tcW w:type="dxa" w:w="916"/>
            <w:shd w:fill="FFFFFF"/>
            <w:tcMar>
              <w:top w:w="60" w:type="dxa"/>
              <w:bottom w:w="60" w:type="dxa"/>
              <w:left w:w="80" w:type="dxa"/>
              <w:right w:w="80" w:type="dxa"/>
            </w:tcMar>
          </w:tcPr>
          <w:p>
            <w:pPr>
              <w:jc w:val="center"/>
            </w:pPr>
            <w:r>
              <w:rPr>
                <w:rFonts w:ascii="Arial" w:hAnsi="Arial"/>
                <w:color w:val="1E293B"/>
                <w:sz w:val="16"/>
              </w:rPr>
              <w:t>17.5%</w:t>
            </w:r>
          </w:p>
        </w:tc>
        <w:tc>
          <w:tcPr>
            <w:tcW w:type="dxa" w:w="916"/>
            <w:shd w:fill="FFFFFF"/>
            <w:tcMar>
              <w:top w:w="60" w:type="dxa"/>
              <w:bottom w:w="60" w:type="dxa"/>
              <w:left w:w="80" w:type="dxa"/>
              <w:right w:w="80" w:type="dxa"/>
            </w:tcMar>
          </w:tcPr>
          <w:p>
            <w:pPr>
              <w:jc w:val="left"/>
            </w:pPr>
            <w:r>
              <w:rPr>
                <w:rFonts w:ascii="Arial" w:hAnsi="Arial"/>
                <w:color w:val="1E293B"/>
                <w:sz w:val="16"/>
              </w:rPr>
              <w:t>Zero-lag weighted moving average direction shift</w:t>
            </w:r>
          </w:p>
        </w:tc>
        <w:tc>
          <w:tcPr>
            <w:tcW w:type="dxa" w:w="916"/>
            <w:shd w:fill="FFFFFF"/>
            <w:tcMar>
              <w:top w:w="60" w:type="dxa"/>
              <w:bottom w:w="60" w:type="dxa"/>
              <w:left w:w="80" w:type="dxa"/>
              <w:right w:w="80" w:type="dxa"/>
            </w:tcMar>
          </w:tcPr>
          <w:p>
            <w:pPr>
              <w:jc w:val="left"/>
            </w:pPr>
            <w:r>
              <w:rPr>
                <w:rFonts w:ascii="Arial" w:hAnsi="Arial"/>
                <w:color w:val="1E293B"/>
                <w:sz w:val="16"/>
              </w:rPr>
              <w:t>Futures, Swing Stocks (15m, 1H, 4H)</w:t>
            </w:r>
          </w:p>
        </w:tc>
      </w:tr>
      <w:tr>
        <w:tc>
          <w:tcPr>
            <w:tcW w:type="dxa" w:w="916"/>
            <w:shd w:fill="F8FAFC"/>
            <w:tcMar>
              <w:top w:w="60" w:type="dxa"/>
              <w:bottom w:w="60" w:type="dxa"/>
              <w:left w:w="80" w:type="dxa"/>
              <w:right w:w="80" w:type="dxa"/>
            </w:tcMar>
          </w:tcPr>
          <w:p>
            <w:pPr>
              <w:jc w:val="center"/>
            </w:pPr>
            <w:r>
              <w:rPr>
                <w:rFonts w:ascii="Arial" w:hAnsi="Arial"/>
                <w:b/>
                <w:color w:val="1E3A8A"/>
                <w:sz w:val="16"/>
              </w:rPr>
              <w:t>#7</w:t>
            </w:r>
          </w:p>
        </w:tc>
        <w:tc>
          <w:tcPr>
            <w:tcW w:type="dxa" w:w="916"/>
            <w:shd w:fill="F8FAFC"/>
            <w:tcMar>
              <w:top w:w="60" w:type="dxa"/>
              <w:bottom w:w="60" w:type="dxa"/>
              <w:left w:w="80" w:type="dxa"/>
              <w:right w:w="80" w:type="dxa"/>
            </w:tcMar>
          </w:tcPr>
          <w:p>
            <w:pPr>
              <w:jc w:val="center"/>
            </w:pPr>
            <w:r>
              <w:rPr>
                <w:rFonts w:ascii="Arial" w:hAnsi="Arial"/>
                <w:b/>
                <w:color w:val="1E3A8A"/>
                <w:sz w:val="16"/>
              </w:rPr>
              <w:t>#4</w:t>
            </w:r>
          </w:p>
        </w:tc>
        <w:tc>
          <w:tcPr>
            <w:tcW w:type="dxa" w:w="916"/>
            <w:shd w:fill="F8FAFC"/>
            <w:tcMar>
              <w:top w:w="60" w:type="dxa"/>
              <w:bottom w:w="60" w:type="dxa"/>
              <w:left w:w="80" w:type="dxa"/>
              <w:right w:w="80" w:type="dxa"/>
            </w:tcMar>
          </w:tcPr>
          <w:p>
            <w:pPr>
              <w:jc w:val="center"/>
            </w:pPr>
            <w:r>
              <w:rPr>
                <w:rFonts w:ascii="Arial" w:hAnsi="Arial"/>
                <w:b/>
                <w:color w:val="C2650A"/>
                <w:sz w:val="16"/>
              </w:rPr>
              <w:t>68,000+</w:t>
            </w:r>
          </w:p>
        </w:tc>
        <w:tc>
          <w:tcPr>
            <w:tcW w:type="dxa" w:w="916"/>
            <w:shd w:fill="F8FAFC"/>
            <w:tcMar>
              <w:top w:w="60" w:type="dxa"/>
              <w:bottom w:w="60" w:type="dxa"/>
              <w:left w:w="80" w:type="dxa"/>
              <w:right w:w="80" w:type="dxa"/>
            </w:tcMar>
          </w:tcPr>
          <w:p>
            <w:pPr>
              <w:jc w:val="left"/>
            </w:pPr>
            <w:r>
              <w:rPr>
                <w:rFonts w:ascii="Arial" w:hAnsi="Arial"/>
                <w:color w:val="1E293B"/>
                <w:sz w:val="16"/>
              </w:rPr>
              <w:t>WaveTrend Oscillator</w:t>
            </w:r>
          </w:p>
        </w:tc>
        <w:tc>
          <w:tcPr>
            <w:tcW w:type="dxa" w:w="916"/>
            <w:shd w:fill="F8FAFC"/>
            <w:tcMar>
              <w:top w:w="60" w:type="dxa"/>
              <w:bottom w:w="60" w:type="dxa"/>
              <w:left w:w="80" w:type="dxa"/>
              <w:right w:w="80" w:type="dxa"/>
            </w:tcMar>
          </w:tcPr>
          <w:p>
            <w:pPr>
              <w:jc w:val="left"/>
            </w:pPr>
            <w:r>
              <w:rPr>
                <w:rFonts w:ascii="Arial" w:hAnsi="Arial"/>
                <w:color w:val="1E293B"/>
                <w:sz w:val="16"/>
              </w:rPr>
              <w:t>LazyBear</w:t>
            </w:r>
          </w:p>
        </w:tc>
        <w:tc>
          <w:tcPr>
            <w:tcW w:type="dxa" w:w="916"/>
            <w:shd w:fill="F8FAFC"/>
            <w:tcMar>
              <w:top w:w="60" w:type="dxa"/>
              <w:bottom w:w="60" w:type="dxa"/>
              <w:left w:w="80" w:type="dxa"/>
              <w:right w:w="80" w:type="dxa"/>
            </w:tcMar>
          </w:tcPr>
          <w:p>
            <w:pPr>
              <w:jc w:val="center"/>
            </w:pPr>
            <w:r>
              <w:rPr>
                <w:rFonts w:ascii="Arial" w:hAnsi="Arial"/>
                <w:b/>
                <w:color w:val="1095C1"/>
                <w:sz w:val="16"/>
              </w:rPr>
              <w:t>33.5%</w:t>
            </w:r>
          </w:p>
        </w:tc>
        <w:tc>
          <w:tcPr>
            <w:tcW w:type="dxa" w:w="916"/>
            <w:shd w:fill="F8FAFC"/>
            <w:tcMar>
              <w:top w:w="60" w:type="dxa"/>
              <w:bottom w:w="60" w:type="dxa"/>
              <w:left w:w="80" w:type="dxa"/>
              <w:right w:w="80" w:type="dxa"/>
            </w:tcMar>
          </w:tcPr>
          <w:p>
            <w:pPr>
              <w:jc w:val="center"/>
            </w:pPr>
            <w:r>
              <w:rPr>
                <w:rFonts w:ascii="Arial" w:hAnsi="Arial"/>
                <w:color w:val="1E293B"/>
                <w:sz w:val="16"/>
              </w:rPr>
              <w:t>57.0%</w:t>
            </w:r>
          </w:p>
        </w:tc>
        <w:tc>
          <w:tcPr>
            <w:tcW w:type="dxa" w:w="916"/>
            <w:shd w:fill="F8FAFC"/>
            <w:tcMar>
              <w:top w:w="60" w:type="dxa"/>
              <w:bottom w:w="60" w:type="dxa"/>
              <w:left w:w="80" w:type="dxa"/>
              <w:right w:w="80" w:type="dxa"/>
            </w:tcMar>
          </w:tcPr>
          <w:p>
            <w:pPr>
              <w:jc w:val="center"/>
            </w:pPr>
            <w:r>
              <w:rPr>
                <w:rFonts w:ascii="Arial" w:hAnsi="Arial"/>
                <w:color w:val="1E293B"/>
                <w:sz w:val="16"/>
              </w:rPr>
              <w:t>1.75</w:t>
            </w:r>
          </w:p>
        </w:tc>
        <w:tc>
          <w:tcPr>
            <w:tcW w:type="dxa" w:w="916"/>
            <w:shd w:fill="F8FAFC"/>
            <w:tcMar>
              <w:top w:w="60" w:type="dxa"/>
              <w:bottom w:w="60" w:type="dxa"/>
              <w:left w:w="80" w:type="dxa"/>
              <w:right w:w="80" w:type="dxa"/>
            </w:tcMar>
          </w:tcPr>
          <w:p>
            <w:pPr>
              <w:jc w:val="center"/>
            </w:pPr>
            <w:r>
              <w:rPr>
                <w:rFonts w:ascii="Arial" w:hAnsi="Arial"/>
                <w:color w:val="1E293B"/>
                <w:sz w:val="16"/>
              </w:rPr>
              <w:t>18.5%</w:t>
            </w:r>
          </w:p>
        </w:tc>
        <w:tc>
          <w:tcPr>
            <w:tcW w:type="dxa" w:w="916"/>
            <w:shd w:fill="F8FAFC"/>
            <w:tcMar>
              <w:top w:w="60" w:type="dxa"/>
              <w:bottom w:w="60" w:type="dxa"/>
              <w:left w:w="80" w:type="dxa"/>
              <w:right w:w="80" w:type="dxa"/>
            </w:tcMar>
          </w:tcPr>
          <w:p>
            <w:pPr>
              <w:jc w:val="left"/>
            </w:pPr>
            <w:r>
              <w:rPr>
                <w:rFonts w:ascii="Arial" w:hAnsi="Arial"/>
                <w:color w:val="1E293B"/>
                <w:sz w:val="16"/>
              </w:rPr>
              <w:t>Dual EMA smoothing price differences cyclical turns</w:t>
            </w:r>
          </w:p>
        </w:tc>
        <w:tc>
          <w:tcPr>
            <w:tcW w:type="dxa" w:w="916"/>
            <w:shd w:fill="F8FAFC"/>
            <w:tcMar>
              <w:top w:w="60" w:type="dxa"/>
              <w:bottom w:w="60" w:type="dxa"/>
              <w:left w:w="80" w:type="dxa"/>
              <w:right w:w="80" w:type="dxa"/>
            </w:tcMar>
          </w:tcPr>
          <w:p>
            <w:pPr>
              <w:jc w:val="left"/>
            </w:pPr>
            <w:r>
              <w:rPr>
                <w:rFonts w:ascii="Arial" w:hAnsi="Arial"/>
                <w:color w:val="1E293B"/>
                <w:sz w:val="16"/>
              </w:rPr>
              <w:t>Forex, Crypto (30m, 1H, 4H)</w:t>
            </w:r>
          </w:p>
        </w:tc>
      </w:tr>
      <w:tr>
        <w:tc>
          <w:tcPr>
            <w:tcW w:type="dxa" w:w="916"/>
            <w:shd w:fill="FFFFFF"/>
            <w:tcMar>
              <w:top w:w="60" w:type="dxa"/>
              <w:bottom w:w="60" w:type="dxa"/>
              <w:left w:w="80" w:type="dxa"/>
              <w:right w:w="80" w:type="dxa"/>
            </w:tcMar>
          </w:tcPr>
          <w:p>
            <w:pPr>
              <w:jc w:val="center"/>
            </w:pPr>
            <w:r>
              <w:rPr>
                <w:rFonts w:ascii="Arial" w:hAnsi="Arial"/>
                <w:b/>
                <w:color w:val="1E3A8A"/>
                <w:sz w:val="16"/>
              </w:rPr>
              <w:t>#8</w:t>
            </w:r>
          </w:p>
        </w:tc>
        <w:tc>
          <w:tcPr>
            <w:tcW w:type="dxa" w:w="916"/>
            <w:shd w:fill="FFFFFF"/>
            <w:tcMar>
              <w:top w:w="60" w:type="dxa"/>
              <w:bottom w:w="60" w:type="dxa"/>
              <w:left w:w="80" w:type="dxa"/>
              <w:right w:w="80" w:type="dxa"/>
            </w:tcMar>
          </w:tcPr>
          <w:p>
            <w:pPr>
              <w:jc w:val="center"/>
            </w:pPr>
            <w:r>
              <w:rPr>
                <w:rFonts w:ascii="Arial" w:hAnsi="Arial"/>
                <w:b/>
                <w:color w:val="1E3A8A"/>
                <w:sz w:val="16"/>
              </w:rPr>
              <w:t>#9</w:t>
            </w:r>
          </w:p>
        </w:tc>
        <w:tc>
          <w:tcPr>
            <w:tcW w:type="dxa" w:w="916"/>
            <w:shd w:fill="FFFFFF"/>
            <w:tcMar>
              <w:top w:w="60" w:type="dxa"/>
              <w:bottom w:w="60" w:type="dxa"/>
              <w:left w:w="80" w:type="dxa"/>
              <w:right w:w="80" w:type="dxa"/>
            </w:tcMar>
          </w:tcPr>
          <w:p>
            <w:pPr>
              <w:jc w:val="center"/>
            </w:pPr>
            <w:r>
              <w:rPr>
                <w:rFonts w:ascii="Arial" w:hAnsi="Arial"/>
                <w:b/>
                <w:color w:val="C2650A"/>
                <w:sz w:val="16"/>
              </w:rPr>
              <w:t>28,000+</w:t>
            </w:r>
          </w:p>
        </w:tc>
        <w:tc>
          <w:tcPr>
            <w:tcW w:type="dxa" w:w="916"/>
            <w:shd w:fill="FFFFFF"/>
            <w:tcMar>
              <w:top w:w="60" w:type="dxa"/>
              <w:bottom w:w="60" w:type="dxa"/>
              <w:left w:w="80" w:type="dxa"/>
              <w:right w:w="80" w:type="dxa"/>
            </w:tcMar>
          </w:tcPr>
          <w:p>
            <w:pPr>
              <w:jc w:val="left"/>
            </w:pPr>
            <w:r>
              <w:rPr>
                <w:rFonts w:ascii="Arial" w:hAnsi="Arial"/>
                <w:color w:val="1E293B"/>
                <w:sz w:val="16"/>
              </w:rPr>
              <w:t>HalfTrend Strategy</w:t>
            </w:r>
          </w:p>
        </w:tc>
        <w:tc>
          <w:tcPr>
            <w:tcW w:type="dxa" w:w="916"/>
            <w:shd w:fill="FFFFFF"/>
            <w:tcMar>
              <w:top w:w="60" w:type="dxa"/>
              <w:bottom w:w="60" w:type="dxa"/>
              <w:left w:w="80" w:type="dxa"/>
              <w:right w:w="80" w:type="dxa"/>
            </w:tcMar>
          </w:tcPr>
          <w:p>
            <w:pPr>
              <w:jc w:val="left"/>
            </w:pPr>
            <w:r>
              <w:rPr>
                <w:rFonts w:ascii="Arial" w:hAnsi="Arial"/>
                <w:color w:val="1E293B"/>
                <w:sz w:val="16"/>
              </w:rPr>
              <w:t>AlexOrekhov</w:t>
            </w:r>
          </w:p>
        </w:tc>
        <w:tc>
          <w:tcPr>
            <w:tcW w:type="dxa" w:w="916"/>
            <w:shd w:fill="FFFFFF"/>
            <w:tcMar>
              <w:top w:w="60" w:type="dxa"/>
              <w:bottom w:w="60" w:type="dxa"/>
              <w:left w:w="80" w:type="dxa"/>
              <w:right w:w="80" w:type="dxa"/>
            </w:tcMar>
          </w:tcPr>
          <w:p>
            <w:pPr>
              <w:jc w:val="center"/>
            </w:pPr>
            <w:r>
              <w:rPr>
                <w:rFonts w:ascii="Arial" w:hAnsi="Arial"/>
                <w:b/>
                <w:color w:val="1095C1"/>
                <w:sz w:val="16"/>
              </w:rPr>
              <w:t>33.0%</w:t>
            </w:r>
          </w:p>
        </w:tc>
        <w:tc>
          <w:tcPr>
            <w:tcW w:type="dxa" w:w="916"/>
            <w:shd w:fill="FFFFFF"/>
            <w:tcMar>
              <w:top w:w="60" w:type="dxa"/>
              <w:bottom w:w="60" w:type="dxa"/>
              <w:left w:w="80" w:type="dxa"/>
              <w:right w:w="80" w:type="dxa"/>
            </w:tcMar>
          </w:tcPr>
          <w:p>
            <w:pPr>
              <w:jc w:val="center"/>
            </w:pPr>
            <w:r>
              <w:rPr>
                <w:rFonts w:ascii="Arial" w:hAnsi="Arial"/>
                <w:color w:val="1E293B"/>
                <w:sz w:val="16"/>
              </w:rPr>
              <w:t>53.0%</w:t>
            </w:r>
          </w:p>
        </w:tc>
        <w:tc>
          <w:tcPr>
            <w:tcW w:type="dxa" w:w="916"/>
            <w:shd w:fill="FFFFFF"/>
            <w:tcMar>
              <w:top w:w="60" w:type="dxa"/>
              <w:bottom w:w="60" w:type="dxa"/>
              <w:left w:w="80" w:type="dxa"/>
              <w:right w:w="80" w:type="dxa"/>
            </w:tcMar>
          </w:tcPr>
          <w:p>
            <w:pPr>
              <w:jc w:val="center"/>
            </w:pPr>
            <w:r>
              <w:rPr>
                <w:rFonts w:ascii="Arial" w:hAnsi="Arial"/>
                <w:color w:val="1E293B"/>
                <w:sz w:val="16"/>
              </w:rPr>
              <w:t>1.80</w:t>
            </w:r>
          </w:p>
        </w:tc>
        <w:tc>
          <w:tcPr>
            <w:tcW w:type="dxa" w:w="916"/>
            <w:shd w:fill="FFFFFF"/>
            <w:tcMar>
              <w:top w:w="60" w:type="dxa"/>
              <w:bottom w:w="60" w:type="dxa"/>
              <w:left w:w="80" w:type="dxa"/>
              <w:right w:w="80" w:type="dxa"/>
            </w:tcMar>
          </w:tcPr>
          <w:p>
            <w:pPr>
              <w:jc w:val="center"/>
            </w:pPr>
            <w:r>
              <w:rPr>
                <w:rFonts w:ascii="Arial" w:hAnsi="Arial"/>
                <w:color w:val="1E293B"/>
                <w:sz w:val="16"/>
              </w:rPr>
              <w:t>16.5%</w:t>
            </w:r>
          </w:p>
        </w:tc>
        <w:tc>
          <w:tcPr>
            <w:tcW w:type="dxa" w:w="916"/>
            <w:shd w:fill="FFFFFF"/>
            <w:tcMar>
              <w:top w:w="60" w:type="dxa"/>
              <w:bottom w:w="60" w:type="dxa"/>
              <w:left w:w="80" w:type="dxa"/>
              <w:right w:w="80" w:type="dxa"/>
            </w:tcMar>
          </w:tcPr>
          <w:p>
            <w:pPr>
              <w:jc w:val="left"/>
            </w:pPr>
            <w:r>
              <w:rPr>
                <w:rFonts w:ascii="Arial" w:hAnsi="Arial"/>
                <w:color w:val="1E293B"/>
                <w:sz w:val="16"/>
              </w:rPr>
              <w:t>Adaptive ATR high/low pivot baseline with filtered trend flips</w:t>
            </w:r>
          </w:p>
        </w:tc>
        <w:tc>
          <w:tcPr>
            <w:tcW w:type="dxa" w:w="916"/>
            <w:shd w:fill="FFFFFF"/>
            <w:tcMar>
              <w:top w:w="60" w:type="dxa"/>
              <w:bottom w:w="60" w:type="dxa"/>
              <w:left w:w="80" w:type="dxa"/>
              <w:right w:w="80" w:type="dxa"/>
            </w:tcMar>
          </w:tcPr>
          <w:p>
            <w:pPr>
              <w:jc w:val="left"/>
            </w:pPr>
            <w:r>
              <w:rPr>
                <w:rFonts w:ascii="Arial" w:hAnsi="Arial"/>
                <w:color w:val="1E293B"/>
                <w:sz w:val="16"/>
              </w:rPr>
              <w:t>Equities, Forex (1H, 4H, 1D)</w:t>
            </w:r>
          </w:p>
        </w:tc>
      </w:tr>
      <w:tr>
        <w:tc>
          <w:tcPr>
            <w:tcW w:type="dxa" w:w="916"/>
            <w:shd w:fill="F8FAFC"/>
            <w:tcMar>
              <w:top w:w="60" w:type="dxa"/>
              <w:bottom w:w="60" w:type="dxa"/>
              <w:left w:w="80" w:type="dxa"/>
              <w:right w:w="80" w:type="dxa"/>
            </w:tcMar>
          </w:tcPr>
          <w:p>
            <w:pPr>
              <w:jc w:val="center"/>
            </w:pPr>
            <w:r>
              <w:rPr>
                <w:rFonts w:ascii="Arial" w:hAnsi="Arial"/>
                <w:b/>
                <w:color w:val="1E3A8A"/>
                <w:sz w:val="16"/>
              </w:rPr>
              <w:t>#9</w:t>
            </w:r>
          </w:p>
        </w:tc>
        <w:tc>
          <w:tcPr>
            <w:tcW w:type="dxa" w:w="916"/>
            <w:shd w:fill="F8FAFC"/>
            <w:tcMar>
              <w:top w:w="60" w:type="dxa"/>
              <w:bottom w:w="60" w:type="dxa"/>
              <w:left w:w="80" w:type="dxa"/>
              <w:right w:w="80" w:type="dxa"/>
            </w:tcMar>
          </w:tcPr>
          <w:p>
            <w:pPr>
              <w:jc w:val="center"/>
            </w:pPr>
            <w:r>
              <w:rPr>
                <w:rFonts w:ascii="Arial" w:hAnsi="Arial"/>
                <w:b/>
                <w:color w:val="1E3A8A"/>
                <w:sz w:val="16"/>
              </w:rPr>
              <w:t>#8</w:t>
            </w:r>
          </w:p>
        </w:tc>
        <w:tc>
          <w:tcPr>
            <w:tcW w:type="dxa" w:w="916"/>
            <w:shd w:fill="F8FAFC"/>
            <w:tcMar>
              <w:top w:w="60" w:type="dxa"/>
              <w:bottom w:w="60" w:type="dxa"/>
              <w:left w:w="80" w:type="dxa"/>
              <w:right w:w="80" w:type="dxa"/>
            </w:tcMar>
          </w:tcPr>
          <w:p>
            <w:pPr>
              <w:jc w:val="center"/>
            </w:pPr>
            <w:r>
              <w:rPr>
                <w:rFonts w:ascii="Arial" w:hAnsi="Arial"/>
                <w:b/>
                <w:color w:val="C2650A"/>
                <w:sz w:val="16"/>
              </w:rPr>
              <w:t>36,000+</w:t>
            </w:r>
          </w:p>
        </w:tc>
        <w:tc>
          <w:tcPr>
            <w:tcW w:type="dxa" w:w="916"/>
            <w:shd w:fill="F8FAFC"/>
            <w:tcMar>
              <w:top w:w="60" w:type="dxa"/>
              <w:bottom w:w="60" w:type="dxa"/>
              <w:left w:w="80" w:type="dxa"/>
              <w:right w:w="80" w:type="dxa"/>
            </w:tcMar>
          </w:tcPr>
          <w:p>
            <w:pPr>
              <w:jc w:val="left"/>
            </w:pPr>
            <w:r>
              <w:rPr>
                <w:rFonts w:ascii="Arial" w:hAnsi="Arial"/>
                <w:color w:val="1E293B"/>
                <w:sz w:val="16"/>
              </w:rPr>
              <w:t>QQE MOD</w:t>
            </w:r>
          </w:p>
        </w:tc>
        <w:tc>
          <w:tcPr>
            <w:tcW w:type="dxa" w:w="916"/>
            <w:shd w:fill="F8FAFC"/>
            <w:tcMar>
              <w:top w:w="60" w:type="dxa"/>
              <w:bottom w:w="60" w:type="dxa"/>
              <w:left w:w="80" w:type="dxa"/>
              <w:right w:w="80" w:type="dxa"/>
            </w:tcMar>
          </w:tcPr>
          <w:p>
            <w:pPr>
              <w:jc w:val="left"/>
            </w:pPr>
            <w:r>
              <w:rPr>
                <w:rFonts w:ascii="Arial" w:hAnsi="Arial"/>
                <w:color w:val="1E293B"/>
                <w:sz w:val="16"/>
              </w:rPr>
              <w:t>Mihkel00</w:t>
            </w:r>
          </w:p>
        </w:tc>
        <w:tc>
          <w:tcPr>
            <w:tcW w:type="dxa" w:w="916"/>
            <w:shd w:fill="F8FAFC"/>
            <w:tcMar>
              <w:top w:w="60" w:type="dxa"/>
              <w:bottom w:w="60" w:type="dxa"/>
              <w:left w:w="80" w:type="dxa"/>
              <w:right w:w="80" w:type="dxa"/>
            </w:tcMar>
          </w:tcPr>
          <w:p>
            <w:pPr>
              <w:jc w:val="center"/>
            </w:pPr>
            <w:r>
              <w:rPr>
                <w:rFonts w:ascii="Arial" w:hAnsi="Arial"/>
                <w:b/>
                <w:color w:val="1095C1"/>
                <w:sz w:val="16"/>
              </w:rPr>
              <w:t>31.0%</w:t>
            </w:r>
          </w:p>
        </w:tc>
        <w:tc>
          <w:tcPr>
            <w:tcW w:type="dxa" w:w="916"/>
            <w:shd w:fill="F8FAFC"/>
            <w:tcMar>
              <w:top w:w="60" w:type="dxa"/>
              <w:bottom w:w="60" w:type="dxa"/>
              <w:left w:w="80" w:type="dxa"/>
              <w:right w:w="80" w:type="dxa"/>
            </w:tcMar>
          </w:tcPr>
          <w:p>
            <w:pPr>
              <w:jc w:val="center"/>
            </w:pPr>
            <w:r>
              <w:rPr>
                <w:rFonts w:ascii="Arial" w:hAnsi="Arial"/>
                <w:color w:val="1E293B"/>
                <w:sz w:val="16"/>
              </w:rPr>
              <w:t>56.0%</w:t>
            </w:r>
          </w:p>
        </w:tc>
        <w:tc>
          <w:tcPr>
            <w:tcW w:type="dxa" w:w="916"/>
            <w:shd w:fill="F8FAFC"/>
            <w:tcMar>
              <w:top w:w="60" w:type="dxa"/>
              <w:bottom w:w="60" w:type="dxa"/>
              <w:left w:w="80" w:type="dxa"/>
              <w:right w:w="80" w:type="dxa"/>
            </w:tcMar>
          </w:tcPr>
          <w:p>
            <w:pPr>
              <w:jc w:val="center"/>
            </w:pPr>
            <w:r>
              <w:rPr>
                <w:rFonts w:ascii="Arial" w:hAnsi="Arial"/>
                <w:color w:val="1E293B"/>
                <w:sz w:val="16"/>
              </w:rPr>
              <w:t>1.70</w:t>
            </w:r>
          </w:p>
        </w:tc>
        <w:tc>
          <w:tcPr>
            <w:tcW w:type="dxa" w:w="916"/>
            <w:shd w:fill="F8FAFC"/>
            <w:tcMar>
              <w:top w:w="60" w:type="dxa"/>
              <w:bottom w:w="60" w:type="dxa"/>
              <w:left w:w="80" w:type="dxa"/>
              <w:right w:w="80" w:type="dxa"/>
            </w:tcMar>
          </w:tcPr>
          <w:p>
            <w:pPr>
              <w:jc w:val="center"/>
            </w:pPr>
            <w:r>
              <w:rPr>
                <w:rFonts w:ascii="Arial" w:hAnsi="Arial"/>
                <w:color w:val="1E293B"/>
                <w:sz w:val="16"/>
              </w:rPr>
              <w:t>18.0%</w:t>
            </w:r>
          </w:p>
        </w:tc>
        <w:tc>
          <w:tcPr>
            <w:tcW w:type="dxa" w:w="916"/>
            <w:shd w:fill="F8FAFC"/>
            <w:tcMar>
              <w:top w:w="60" w:type="dxa"/>
              <w:bottom w:w="60" w:type="dxa"/>
              <w:left w:w="80" w:type="dxa"/>
              <w:right w:w="80" w:type="dxa"/>
            </w:tcMar>
          </w:tcPr>
          <w:p>
            <w:pPr>
              <w:jc w:val="left"/>
            </w:pPr>
            <w:r>
              <w:rPr>
                <w:rFonts w:ascii="Arial" w:hAnsi="Arial"/>
                <w:color w:val="1E293B"/>
                <w:sz w:val="16"/>
              </w:rPr>
              <w:t>Double-smoothed RSI with fast/slow trailing volatility bands</w:t>
            </w:r>
          </w:p>
        </w:tc>
        <w:tc>
          <w:tcPr>
            <w:tcW w:type="dxa" w:w="916"/>
            <w:shd w:fill="F8FAFC"/>
            <w:tcMar>
              <w:top w:w="60" w:type="dxa"/>
              <w:bottom w:w="60" w:type="dxa"/>
              <w:left w:w="80" w:type="dxa"/>
              <w:right w:w="80" w:type="dxa"/>
            </w:tcMar>
          </w:tcPr>
          <w:p>
            <w:pPr>
              <w:jc w:val="left"/>
            </w:pPr>
            <w:r>
              <w:rPr>
                <w:rFonts w:ascii="Arial" w:hAnsi="Arial"/>
                <w:color w:val="1E293B"/>
                <w:sz w:val="16"/>
              </w:rPr>
              <w:t>Forex, Scalping (15m, 1H, 4H)</w:t>
            </w:r>
          </w:p>
        </w:tc>
      </w:tr>
      <w:tr>
        <w:tc>
          <w:tcPr>
            <w:tcW w:type="dxa" w:w="916"/>
            <w:shd w:fill="FFFFFF"/>
            <w:tcMar>
              <w:top w:w="60" w:type="dxa"/>
              <w:bottom w:w="60" w:type="dxa"/>
              <w:left w:w="80" w:type="dxa"/>
              <w:right w:w="80" w:type="dxa"/>
            </w:tcMar>
          </w:tcPr>
          <w:p>
            <w:pPr>
              <w:jc w:val="center"/>
            </w:pPr>
            <w:r>
              <w:rPr>
                <w:rFonts w:ascii="Arial" w:hAnsi="Arial"/>
                <w:b/>
                <w:color w:val="1E3A8A"/>
                <w:sz w:val="16"/>
              </w:rPr>
              <w:t>#10</w:t>
            </w:r>
          </w:p>
        </w:tc>
        <w:tc>
          <w:tcPr>
            <w:tcW w:type="dxa" w:w="916"/>
            <w:shd w:fill="FFFFFF"/>
            <w:tcMar>
              <w:top w:w="60" w:type="dxa"/>
              <w:bottom w:w="60" w:type="dxa"/>
              <w:left w:w="80" w:type="dxa"/>
              <w:right w:w="80" w:type="dxa"/>
            </w:tcMar>
          </w:tcPr>
          <w:p>
            <w:pPr>
              <w:jc w:val="center"/>
            </w:pPr>
            <w:r>
              <w:rPr>
                <w:rFonts w:ascii="Arial" w:hAnsi="Arial"/>
                <w:b/>
                <w:color w:val="1E3A8A"/>
                <w:sz w:val="16"/>
              </w:rPr>
              <w:t>#10</w:t>
            </w:r>
          </w:p>
        </w:tc>
        <w:tc>
          <w:tcPr>
            <w:tcW w:type="dxa" w:w="916"/>
            <w:shd w:fill="FFFFFF"/>
            <w:tcMar>
              <w:top w:w="60" w:type="dxa"/>
              <w:bottom w:w="60" w:type="dxa"/>
              <w:left w:w="80" w:type="dxa"/>
              <w:right w:w="80" w:type="dxa"/>
            </w:tcMar>
          </w:tcPr>
          <w:p>
            <w:pPr>
              <w:jc w:val="center"/>
            </w:pPr>
            <w:r>
              <w:rPr>
                <w:rFonts w:ascii="Arial" w:hAnsi="Arial"/>
                <w:b/>
                <w:color w:val="C2650A"/>
                <w:sz w:val="16"/>
              </w:rPr>
              <w:t>31,000+</w:t>
            </w:r>
          </w:p>
        </w:tc>
        <w:tc>
          <w:tcPr>
            <w:tcW w:type="dxa" w:w="916"/>
            <w:shd w:fill="FFFFFF"/>
            <w:tcMar>
              <w:top w:w="60" w:type="dxa"/>
              <w:bottom w:w="60" w:type="dxa"/>
              <w:left w:w="80" w:type="dxa"/>
              <w:right w:w="80" w:type="dxa"/>
            </w:tcMar>
          </w:tcPr>
          <w:p>
            <w:pPr>
              <w:jc w:val="left"/>
            </w:pPr>
            <w:r>
              <w:rPr>
                <w:rFonts w:ascii="Arial" w:hAnsi="Arial"/>
                <w:color w:val="1E293B"/>
                <w:sz w:val="16"/>
              </w:rPr>
              <w:t>UT Bot Alerts</w:t>
            </w:r>
          </w:p>
        </w:tc>
        <w:tc>
          <w:tcPr>
            <w:tcW w:type="dxa" w:w="916"/>
            <w:shd w:fill="FFFFFF"/>
            <w:tcMar>
              <w:top w:w="60" w:type="dxa"/>
              <w:bottom w:w="60" w:type="dxa"/>
              <w:left w:w="80" w:type="dxa"/>
              <w:right w:w="80" w:type="dxa"/>
            </w:tcMar>
          </w:tcPr>
          <w:p>
            <w:pPr>
              <w:jc w:val="left"/>
            </w:pPr>
            <w:r>
              <w:rPr>
                <w:rFonts w:ascii="Arial" w:hAnsi="Arial"/>
                <w:color w:val="1E293B"/>
                <w:sz w:val="16"/>
              </w:rPr>
              <w:t>QuantNomad</w:t>
            </w:r>
          </w:p>
        </w:tc>
        <w:tc>
          <w:tcPr>
            <w:tcW w:type="dxa" w:w="916"/>
            <w:shd w:fill="FFFFFF"/>
            <w:tcMar>
              <w:top w:w="60" w:type="dxa"/>
              <w:bottom w:w="60" w:type="dxa"/>
              <w:left w:w="80" w:type="dxa"/>
              <w:right w:w="80" w:type="dxa"/>
            </w:tcMar>
          </w:tcPr>
          <w:p>
            <w:pPr>
              <w:jc w:val="center"/>
            </w:pPr>
            <w:r>
              <w:rPr>
                <w:rFonts w:ascii="Arial" w:hAnsi="Arial"/>
                <w:b/>
                <w:color w:val="1095C1"/>
                <w:sz w:val="16"/>
              </w:rPr>
              <w:t>29.0%</w:t>
            </w:r>
          </w:p>
        </w:tc>
        <w:tc>
          <w:tcPr>
            <w:tcW w:type="dxa" w:w="916"/>
            <w:shd w:fill="FFFFFF"/>
            <w:tcMar>
              <w:top w:w="60" w:type="dxa"/>
              <w:bottom w:w="60" w:type="dxa"/>
              <w:left w:w="80" w:type="dxa"/>
              <w:right w:w="80" w:type="dxa"/>
            </w:tcMar>
          </w:tcPr>
          <w:p>
            <w:pPr>
              <w:jc w:val="center"/>
            </w:pPr>
            <w:r>
              <w:rPr>
                <w:rFonts w:ascii="Arial" w:hAnsi="Arial"/>
                <w:color w:val="1E293B"/>
                <w:sz w:val="16"/>
              </w:rPr>
              <w:t>52.0%</w:t>
            </w:r>
          </w:p>
        </w:tc>
        <w:tc>
          <w:tcPr>
            <w:tcW w:type="dxa" w:w="916"/>
            <w:shd w:fill="FFFFFF"/>
            <w:tcMar>
              <w:top w:w="60" w:type="dxa"/>
              <w:bottom w:w="60" w:type="dxa"/>
              <w:left w:w="80" w:type="dxa"/>
              <w:right w:w="80" w:type="dxa"/>
            </w:tcMar>
          </w:tcPr>
          <w:p>
            <w:pPr>
              <w:jc w:val="center"/>
            </w:pPr>
            <w:r>
              <w:rPr>
                <w:rFonts w:ascii="Arial" w:hAnsi="Arial"/>
                <w:color w:val="1E293B"/>
                <w:sz w:val="16"/>
              </w:rPr>
              <w:t>1.65</w:t>
            </w:r>
          </w:p>
        </w:tc>
        <w:tc>
          <w:tcPr>
            <w:tcW w:type="dxa" w:w="916"/>
            <w:shd w:fill="FFFFFF"/>
            <w:tcMar>
              <w:top w:w="60" w:type="dxa"/>
              <w:bottom w:w="60" w:type="dxa"/>
              <w:left w:w="80" w:type="dxa"/>
              <w:right w:w="80" w:type="dxa"/>
            </w:tcMar>
          </w:tcPr>
          <w:p>
            <w:pPr>
              <w:jc w:val="center"/>
            </w:pPr>
            <w:r>
              <w:rPr>
                <w:rFonts w:ascii="Arial" w:hAnsi="Arial"/>
                <w:color w:val="1E293B"/>
                <w:sz w:val="16"/>
              </w:rPr>
              <w:t>19.5%</w:t>
            </w:r>
          </w:p>
        </w:tc>
        <w:tc>
          <w:tcPr>
            <w:tcW w:type="dxa" w:w="916"/>
            <w:shd w:fill="FFFFFF"/>
            <w:tcMar>
              <w:top w:w="60" w:type="dxa"/>
              <w:bottom w:w="60" w:type="dxa"/>
              <w:left w:w="80" w:type="dxa"/>
              <w:right w:w="80" w:type="dxa"/>
            </w:tcMar>
          </w:tcPr>
          <w:p>
            <w:pPr>
              <w:jc w:val="left"/>
            </w:pPr>
            <w:r>
              <w:rPr>
                <w:rFonts w:ascii="Arial" w:hAnsi="Arial"/>
                <w:color w:val="1E293B"/>
                <w:sz w:val="16"/>
              </w:rPr>
              <w:t>Key-value ATR dynamic trailing stop with rapid sensitivity</w:t>
            </w:r>
          </w:p>
        </w:tc>
        <w:tc>
          <w:tcPr>
            <w:tcW w:type="dxa" w:w="916"/>
            <w:shd w:fill="FFFFFF"/>
            <w:tcMar>
              <w:top w:w="60" w:type="dxa"/>
              <w:bottom w:w="60" w:type="dxa"/>
              <w:left w:w="80" w:type="dxa"/>
              <w:right w:w="80" w:type="dxa"/>
            </w:tcMar>
          </w:tcPr>
          <w:p>
            <w:pPr>
              <w:jc w:val="left"/>
            </w:pPr>
            <w:r>
              <w:rPr>
                <w:rFonts w:ascii="Arial" w:hAnsi="Arial"/>
                <w:color w:val="1E293B"/>
                <w:sz w:val="16"/>
              </w:rPr>
              <w:t>Crypto Automated, Forex (5m, 15m, 1H)</w:t>
            </w:r>
          </w:p>
        </w:tc>
      </w:tr>
      <w:tr>
        <w:tc>
          <w:tcPr>
            <w:tcW w:type="dxa" w:w="916"/>
            <w:shd w:fill="F8FAFC"/>
            <w:tcMar>
              <w:top w:w="60" w:type="dxa"/>
              <w:bottom w:w="60" w:type="dxa"/>
              <w:left w:w="80" w:type="dxa"/>
              <w:right w:w="80" w:type="dxa"/>
            </w:tcMar>
          </w:tcPr>
          <w:p>
            <w:pPr>
              <w:jc w:val="center"/>
            </w:pPr>
            <w:r>
              <w:rPr>
                <w:rFonts w:ascii="Arial" w:hAnsi="Arial"/>
                <w:b/>
                <w:color w:val="1E3A8A"/>
                <w:sz w:val="16"/>
              </w:rPr>
              <w:t>#11</w:t>
            </w:r>
          </w:p>
        </w:tc>
        <w:tc>
          <w:tcPr>
            <w:tcW w:type="dxa" w:w="916"/>
            <w:shd w:fill="F8FAFC"/>
            <w:tcMar>
              <w:top w:w="60" w:type="dxa"/>
              <w:bottom w:w="60" w:type="dxa"/>
              <w:left w:w="80" w:type="dxa"/>
              <w:right w:w="80" w:type="dxa"/>
            </w:tcMar>
          </w:tcPr>
          <w:p>
            <w:pPr>
              <w:jc w:val="center"/>
            </w:pPr>
            <w:r>
              <w:rPr>
                <w:rFonts w:ascii="Arial" w:hAnsi="Arial"/>
                <w:b/>
                <w:color w:val="1E3A8A"/>
                <w:sz w:val="16"/>
              </w:rPr>
              <w:t>#11</w:t>
            </w:r>
          </w:p>
        </w:tc>
        <w:tc>
          <w:tcPr>
            <w:tcW w:type="dxa" w:w="916"/>
            <w:shd w:fill="F8FAFC"/>
            <w:tcMar>
              <w:top w:w="60" w:type="dxa"/>
              <w:bottom w:w="60" w:type="dxa"/>
              <w:left w:w="80" w:type="dxa"/>
              <w:right w:w="80" w:type="dxa"/>
            </w:tcMar>
          </w:tcPr>
          <w:p>
            <w:pPr>
              <w:jc w:val="center"/>
            </w:pPr>
            <w:r>
              <w:rPr>
                <w:rFonts w:ascii="Arial" w:hAnsi="Arial"/>
                <w:b/>
                <w:color w:val="C2650A"/>
                <w:sz w:val="16"/>
              </w:rPr>
              <w:t>22,000+</w:t>
            </w:r>
          </w:p>
        </w:tc>
        <w:tc>
          <w:tcPr>
            <w:tcW w:type="dxa" w:w="916"/>
            <w:shd w:fill="F8FAFC"/>
            <w:tcMar>
              <w:top w:w="60" w:type="dxa"/>
              <w:bottom w:w="60" w:type="dxa"/>
              <w:left w:w="80" w:type="dxa"/>
              <w:right w:w="80" w:type="dxa"/>
            </w:tcMar>
          </w:tcPr>
          <w:p>
            <w:pPr>
              <w:jc w:val="left"/>
            </w:pPr>
            <w:r>
              <w:rPr>
                <w:rFonts w:ascii="Arial" w:hAnsi="Arial"/>
                <w:color w:val="1E293B"/>
                <w:sz w:val="16"/>
              </w:rPr>
              <w:t>Madrid Trend Squeeze</w:t>
            </w:r>
          </w:p>
        </w:tc>
        <w:tc>
          <w:tcPr>
            <w:tcW w:type="dxa" w:w="916"/>
            <w:shd w:fill="F8FAFC"/>
            <w:tcMar>
              <w:top w:w="60" w:type="dxa"/>
              <w:bottom w:w="60" w:type="dxa"/>
              <w:left w:w="80" w:type="dxa"/>
              <w:right w:w="80" w:type="dxa"/>
            </w:tcMar>
          </w:tcPr>
          <w:p>
            <w:pPr>
              <w:jc w:val="left"/>
            </w:pPr>
            <w:r>
              <w:rPr>
                <w:rFonts w:ascii="Arial" w:hAnsi="Arial"/>
                <w:color w:val="1E293B"/>
                <w:sz w:val="16"/>
              </w:rPr>
              <w:t>Madrid</w:t>
            </w:r>
          </w:p>
        </w:tc>
        <w:tc>
          <w:tcPr>
            <w:tcW w:type="dxa" w:w="916"/>
            <w:shd w:fill="F8FAFC"/>
            <w:tcMar>
              <w:top w:w="60" w:type="dxa"/>
              <w:bottom w:w="60" w:type="dxa"/>
              <w:left w:w="80" w:type="dxa"/>
              <w:right w:w="80" w:type="dxa"/>
            </w:tcMar>
          </w:tcPr>
          <w:p>
            <w:pPr>
              <w:jc w:val="center"/>
            </w:pPr>
            <w:r>
              <w:rPr>
                <w:rFonts w:ascii="Arial" w:hAnsi="Arial"/>
                <w:b/>
                <w:color w:val="1095C1"/>
                <w:sz w:val="16"/>
              </w:rPr>
              <w:t>27.0%</w:t>
            </w:r>
          </w:p>
        </w:tc>
        <w:tc>
          <w:tcPr>
            <w:tcW w:type="dxa" w:w="916"/>
            <w:shd w:fill="F8FAFC"/>
            <w:tcMar>
              <w:top w:w="60" w:type="dxa"/>
              <w:bottom w:w="60" w:type="dxa"/>
              <w:left w:w="80" w:type="dxa"/>
              <w:right w:w="80" w:type="dxa"/>
            </w:tcMar>
          </w:tcPr>
          <w:p>
            <w:pPr>
              <w:jc w:val="center"/>
            </w:pPr>
            <w:r>
              <w:rPr>
                <w:rFonts w:ascii="Arial" w:hAnsi="Arial"/>
                <w:color w:val="1E293B"/>
                <w:sz w:val="16"/>
              </w:rPr>
              <w:t>54.0%</w:t>
            </w:r>
          </w:p>
        </w:tc>
        <w:tc>
          <w:tcPr>
            <w:tcW w:type="dxa" w:w="916"/>
            <w:shd w:fill="F8FAFC"/>
            <w:tcMar>
              <w:top w:w="60" w:type="dxa"/>
              <w:bottom w:w="60" w:type="dxa"/>
              <w:left w:w="80" w:type="dxa"/>
              <w:right w:w="80" w:type="dxa"/>
            </w:tcMar>
          </w:tcPr>
          <w:p>
            <w:pPr>
              <w:jc w:val="center"/>
            </w:pPr>
            <w:r>
              <w:rPr>
                <w:rFonts w:ascii="Arial" w:hAnsi="Arial"/>
                <w:color w:val="1E293B"/>
                <w:sz w:val="16"/>
              </w:rPr>
              <w:t>1.62</w:t>
            </w:r>
          </w:p>
        </w:tc>
        <w:tc>
          <w:tcPr>
            <w:tcW w:type="dxa" w:w="916"/>
            <w:shd w:fill="F8FAFC"/>
            <w:tcMar>
              <w:top w:w="60" w:type="dxa"/>
              <w:bottom w:w="60" w:type="dxa"/>
              <w:left w:w="80" w:type="dxa"/>
              <w:right w:w="80" w:type="dxa"/>
            </w:tcMar>
          </w:tcPr>
          <w:p>
            <w:pPr>
              <w:jc w:val="center"/>
            </w:pPr>
            <w:r>
              <w:rPr>
                <w:rFonts w:ascii="Arial" w:hAnsi="Arial"/>
                <w:color w:val="1E293B"/>
                <w:sz w:val="16"/>
              </w:rPr>
              <w:t>19.0%</w:t>
            </w:r>
          </w:p>
        </w:tc>
        <w:tc>
          <w:tcPr>
            <w:tcW w:type="dxa" w:w="916"/>
            <w:shd w:fill="F8FAFC"/>
            <w:tcMar>
              <w:top w:w="60" w:type="dxa"/>
              <w:bottom w:w="60" w:type="dxa"/>
              <w:left w:w="80" w:type="dxa"/>
              <w:right w:w="80" w:type="dxa"/>
            </w:tcMar>
          </w:tcPr>
          <w:p>
            <w:pPr>
              <w:jc w:val="left"/>
            </w:pPr>
            <w:r>
              <w:rPr>
                <w:rFonts w:ascii="Arial" w:hAnsi="Arial"/>
                <w:color w:val="1E293B"/>
                <w:sz w:val="16"/>
              </w:rPr>
              <w:t>Multi-period EMA ribbon compression and expansion cycles</w:t>
            </w:r>
          </w:p>
        </w:tc>
        <w:tc>
          <w:tcPr>
            <w:tcW w:type="dxa" w:w="916"/>
            <w:shd w:fill="F8FAFC"/>
            <w:tcMar>
              <w:top w:w="60" w:type="dxa"/>
              <w:bottom w:w="60" w:type="dxa"/>
              <w:left w:w="80" w:type="dxa"/>
              <w:right w:w="80" w:type="dxa"/>
            </w:tcMar>
          </w:tcPr>
          <w:p>
            <w:pPr>
              <w:jc w:val="left"/>
            </w:pPr>
            <w:r>
              <w:rPr>
                <w:rFonts w:ascii="Arial" w:hAnsi="Arial"/>
                <w:color w:val="1E293B"/>
                <w:sz w:val="16"/>
              </w:rPr>
              <w:t>Sector ETFs, Growth Stocks (1H, 4H)</w:t>
            </w:r>
          </w:p>
        </w:tc>
      </w:tr>
      <w:tr>
        <w:tc>
          <w:tcPr>
            <w:tcW w:type="dxa" w:w="916"/>
            <w:shd w:fill="FFFFFF"/>
            <w:tcMar>
              <w:top w:w="60" w:type="dxa"/>
              <w:bottom w:w="60" w:type="dxa"/>
              <w:left w:w="80" w:type="dxa"/>
              <w:right w:w="80" w:type="dxa"/>
            </w:tcMar>
          </w:tcPr>
          <w:p>
            <w:pPr>
              <w:jc w:val="center"/>
            </w:pPr>
            <w:r>
              <w:rPr>
                <w:rFonts w:ascii="Arial" w:hAnsi="Arial"/>
                <w:b/>
                <w:color w:val="1E3A8A"/>
                <w:sz w:val="16"/>
              </w:rPr>
              <w:t>#12</w:t>
            </w:r>
          </w:p>
        </w:tc>
        <w:tc>
          <w:tcPr>
            <w:tcW w:type="dxa" w:w="916"/>
            <w:shd w:fill="FFFFFF"/>
            <w:tcMar>
              <w:top w:w="60" w:type="dxa"/>
              <w:bottom w:w="60" w:type="dxa"/>
              <w:left w:w="80" w:type="dxa"/>
              <w:right w:w="80" w:type="dxa"/>
            </w:tcMar>
          </w:tcPr>
          <w:p>
            <w:pPr>
              <w:jc w:val="center"/>
            </w:pPr>
            <w:r>
              <w:rPr>
                <w:rFonts w:ascii="Arial" w:hAnsi="Arial"/>
                <w:b/>
                <w:color w:val="1E3A8A"/>
                <w:sz w:val="16"/>
              </w:rPr>
              <w:t>#12</w:t>
            </w:r>
          </w:p>
        </w:tc>
        <w:tc>
          <w:tcPr>
            <w:tcW w:type="dxa" w:w="916"/>
            <w:shd w:fill="FFFFFF"/>
            <w:tcMar>
              <w:top w:w="60" w:type="dxa"/>
              <w:bottom w:w="60" w:type="dxa"/>
              <w:left w:w="80" w:type="dxa"/>
              <w:right w:w="80" w:type="dxa"/>
            </w:tcMar>
          </w:tcPr>
          <w:p>
            <w:pPr>
              <w:jc w:val="center"/>
            </w:pPr>
            <w:r>
              <w:rPr>
                <w:rFonts w:ascii="Arial" w:hAnsi="Arial"/>
                <w:b/>
                <w:color w:val="C2650A"/>
                <w:sz w:val="16"/>
              </w:rPr>
              <w:t>19,000+</w:t>
            </w:r>
          </w:p>
        </w:tc>
        <w:tc>
          <w:tcPr>
            <w:tcW w:type="dxa" w:w="916"/>
            <w:shd w:fill="FFFFFF"/>
            <w:tcMar>
              <w:top w:w="60" w:type="dxa"/>
              <w:bottom w:w="60" w:type="dxa"/>
              <w:left w:w="80" w:type="dxa"/>
              <w:right w:w="80" w:type="dxa"/>
            </w:tcMar>
          </w:tcPr>
          <w:p>
            <w:pPr>
              <w:jc w:val="left"/>
            </w:pPr>
            <w:r>
              <w:rPr>
                <w:rFonts w:ascii="Arial" w:hAnsi="Arial"/>
                <w:color w:val="1E293B"/>
                <w:sz w:val="16"/>
              </w:rPr>
              <w:t>Chande Kroll Stop</w:t>
            </w:r>
          </w:p>
        </w:tc>
        <w:tc>
          <w:tcPr>
            <w:tcW w:type="dxa" w:w="916"/>
            <w:shd w:fill="FFFFFF"/>
            <w:tcMar>
              <w:top w:w="60" w:type="dxa"/>
              <w:bottom w:w="60" w:type="dxa"/>
              <w:left w:w="80" w:type="dxa"/>
              <w:right w:w="80" w:type="dxa"/>
            </w:tcMar>
          </w:tcPr>
          <w:p>
            <w:pPr>
              <w:jc w:val="left"/>
            </w:pPr>
            <w:r>
              <w:rPr>
                <w:rFonts w:ascii="Arial" w:hAnsi="Arial"/>
                <w:color w:val="1E293B"/>
                <w:sz w:val="16"/>
              </w:rPr>
              <w:t>TV Community</w:t>
            </w:r>
          </w:p>
        </w:tc>
        <w:tc>
          <w:tcPr>
            <w:tcW w:type="dxa" w:w="916"/>
            <w:shd w:fill="FFFFFF"/>
            <w:tcMar>
              <w:top w:w="60" w:type="dxa"/>
              <w:bottom w:w="60" w:type="dxa"/>
              <w:left w:w="80" w:type="dxa"/>
              <w:right w:w="80" w:type="dxa"/>
            </w:tcMar>
          </w:tcPr>
          <w:p>
            <w:pPr>
              <w:jc w:val="center"/>
            </w:pPr>
            <w:r>
              <w:rPr>
                <w:rFonts w:ascii="Arial" w:hAnsi="Arial"/>
                <w:b/>
                <w:color w:val="1095C1"/>
                <w:sz w:val="16"/>
              </w:rPr>
              <w:t>25.5%</w:t>
            </w:r>
          </w:p>
        </w:tc>
        <w:tc>
          <w:tcPr>
            <w:tcW w:type="dxa" w:w="916"/>
            <w:shd w:fill="FFFFFF"/>
            <w:tcMar>
              <w:top w:w="60" w:type="dxa"/>
              <w:bottom w:w="60" w:type="dxa"/>
              <w:left w:w="80" w:type="dxa"/>
              <w:right w:w="80" w:type="dxa"/>
            </w:tcMar>
          </w:tcPr>
          <w:p>
            <w:pPr>
              <w:jc w:val="center"/>
            </w:pPr>
            <w:r>
              <w:rPr>
                <w:rFonts w:ascii="Arial" w:hAnsi="Arial"/>
                <w:color w:val="1E293B"/>
                <w:sz w:val="16"/>
              </w:rPr>
              <w:t>51.0%</w:t>
            </w:r>
          </w:p>
        </w:tc>
        <w:tc>
          <w:tcPr>
            <w:tcW w:type="dxa" w:w="916"/>
            <w:shd w:fill="FFFFFF"/>
            <w:tcMar>
              <w:top w:w="60" w:type="dxa"/>
              <w:bottom w:w="60" w:type="dxa"/>
              <w:left w:w="80" w:type="dxa"/>
              <w:right w:w="80" w:type="dxa"/>
            </w:tcMar>
          </w:tcPr>
          <w:p>
            <w:pPr>
              <w:jc w:val="center"/>
            </w:pPr>
            <w:r>
              <w:rPr>
                <w:rFonts w:ascii="Arial" w:hAnsi="Arial"/>
                <w:color w:val="1E293B"/>
                <w:sz w:val="16"/>
              </w:rPr>
              <w:t>1.60</w:t>
            </w:r>
          </w:p>
        </w:tc>
        <w:tc>
          <w:tcPr>
            <w:tcW w:type="dxa" w:w="916"/>
            <w:shd w:fill="FFFFFF"/>
            <w:tcMar>
              <w:top w:w="60" w:type="dxa"/>
              <w:bottom w:w="60" w:type="dxa"/>
              <w:left w:w="80" w:type="dxa"/>
              <w:right w:w="80" w:type="dxa"/>
            </w:tcMar>
          </w:tcPr>
          <w:p>
            <w:pPr>
              <w:jc w:val="center"/>
            </w:pPr>
            <w:r>
              <w:rPr>
                <w:rFonts w:ascii="Arial" w:hAnsi="Arial"/>
                <w:color w:val="1E293B"/>
                <w:sz w:val="16"/>
              </w:rPr>
              <w:t>16.0%</w:t>
            </w:r>
          </w:p>
        </w:tc>
        <w:tc>
          <w:tcPr>
            <w:tcW w:type="dxa" w:w="916"/>
            <w:shd w:fill="FFFFFF"/>
            <w:tcMar>
              <w:top w:w="60" w:type="dxa"/>
              <w:bottom w:w="60" w:type="dxa"/>
              <w:left w:w="80" w:type="dxa"/>
              <w:right w:w="80" w:type="dxa"/>
            </w:tcMar>
          </w:tcPr>
          <w:p>
            <w:pPr>
              <w:jc w:val="left"/>
            </w:pPr>
            <w:r>
              <w:rPr>
                <w:rFonts w:ascii="Arial" w:hAnsi="Arial"/>
                <w:color w:val="1E293B"/>
                <w:sz w:val="16"/>
              </w:rPr>
              <w:t>Dual-period highest-high / lowest-low channel stop</w:t>
            </w:r>
          </w:p>
        </w:tc>
        <w:tc>
          <w:tcPr>
            <w:tcW w:type="dxa" w:w="916"/>
            <w:shd w:fill="FFFFFF"/>
            <w:tcMar>
              <w:top w:w="60" w:type="dxa"/>
              <w:bottom w:w="60" w:type="dxa"/>
              <w:left w:w="80" w:type="dxa"/>
              <w:right w:w="80" w:type="dxa"/>
            </w:tcMar>
          </w:tcPr>
          <w:p>
            <w:pPr>
              <w:jc w:val="left"/>
            </w:pPr>
            <w:r>
              <w:rPr>
                <w:rFonts w:ascii="Arial" w:hAnsi="Arial"/>
                <w:color w:val="1E293B"/>
                <w:sz w:val="16"/>
              </w:rPr>
              <w:t>Swing Equities (4H, 1D, 1W)</w:t>
            </w:r>
          </w:p>
        </w:tc>
      </w:tr>
      <w:tr>
        <w:tc>
          <w:tcPr>
            <w:tcW w:type="dxa" w:w="916"/>
            <w:shd w:fill="F8FAFC"/>
            <w:tcMar>
              <w:top w:w="60" w:type="dxa"/>
              <w:bottom w:w="60" w:type="dxa"/>
              <w:left w:w="80" w:type="dxa"/>
              <w:right w:w="80" w:type="dxa"/>
            </w:tcMar>
          </w:tcPr>
          <w:p>
            <w:pPr>
              <w:jc w:val="center"/>
            </w:pPr>
            <w:r>
              <w:rPr>
                <w:rFonts w:ascii="Arial" w:hAnsi="Arial"/>
                <w:b/>
                <w:color w:val="1E3A8A"/>
                <w:sz w:val="16"/>
              </w:rPr>
              <w:t>#13</w:t>
            </w:r>
          </w:p>
        </w:tc>
        <w:tc>
          <w:tcPr>
            <w:tcW w:type="dxa" w:w="916"/>
            <w:shd w:fill="F8FAFC"/>
            <w:tcMar>
              <w:top w:w="60" w:type="dxa"/>
              <w:bottom w:w="60" w:type="dxa"/>
              <w:left w:w="80" w:type="dxa"/>
              <w:right w:w="80" w:type="dxa"/>
            </w:tcMar>
          </w:tcPr>
          <w:p>
            <w:pPr>
              <w:jc w:val="center"/>
            </w:pPr>
            <w:r>
              <w:rPr>
                <w:rFonts w:ascii="Arial" w:hAnsi="Arial"/>
                <w:b/>
                <w:color w:val="1E3A8A"/>
                <w:sz w:val="16"/>
              </w:rPr>
              <w:t>#13</w:t>
            </w:r>
          </w:p>
        </w:tc>
        <w:tc>
          <w:tcPr>
            <w:tcW w:type="dxa" w:w="916"/>
            <w:shd w:fill="F8FAFC"/>
            <w:tcMar>
              <w:top w:w="60" w:type="dxa"/>
              <w:bottom w:w="60" w:type="dxa"/>
              <w:left w:w="80" w:type="dxa"/>
              <w:right w:w="80" w:type="dxa"/>
            </w:tcMar>
          </w:tcPr>
          <w:p>
            <w:pPr>
              <w:jc w:val="center"/>
            </w:pPr>
            <w:r>
              <w:rPr>
                <w:rFonts w:ascii="Arial" w:hAnsi="Arial"/>
                <w:b/>
                <w:color w:val="C2650A"/>
                <w:sz w:val="16"/>
              </w:rPr>
              <w:t>21,000+</w:t>
            </w:r>
          </w:p>
        </w:tc>
        <w:tc>
          <w:tcPr>
            <w:tcW w:type="dxa" w:w="916"/>
            <w:shd w:fill="F8FAFC"/>
            <w:tcMar>
              <w:top w:w="60" w:type="dxa"/>
              <w:bottom w:w="60" w:type="dxa"/>
              <w:left w:w="80" w:type="dxa"/>
              <w:right w:w="80" w:type="dxa"/>
            </w:tcMar>
          </w:tcPr>
          <w:p>
            <w:pPr>
              <w:jc w:val="left"/>
            </w:pPr>
            <w:r>
              <w:rPr>
                <w:rFonts w:ascii="Arial" w:hAnsi="Arial"/>
                <w:color w:val="1E293B"/>
                <w:sz w:val="16"/>
              </w:rPr>
              <w:t>Volume Flow Indicator (VFI)</w:t>
            </w:r>
          </w:p>
        </w:tc>
        <w:tc>
          <w:tcPr>
            <w:tcW w:type="dxa" w:w="916"/>
            <w:shd w:fill="F8FAFC"/>
            <w:tcMar>
              <w:top w:w="60" w:type="dxa"/>
              <w:bottom w:w="60" w:type="dxa"/>
              <w:left w:w="80" w:type="dxa"/>
              <w:right w:w="80" w:type="dxa"/>
            </w:tcMar>
          </w:tcPr>
          <w:p>
            <w:pPr>
              <w:jc w:val="left"/>
            </w:pPr>
            <w:r>
              <w:rPr>
                <w:rFonts w:ascii="Arial" w:hAnsi="Arial"/>
                <w:color w:val="1E293B"/>
                <w:sz w:val="16"/>
              </w:rPr>
              <w:t>ChrisMoody</w:t>
            </w:r>
          </w:p>
        </w:tc>
        <w:tc>
          <w:tcPr>
            <w:tcW w:type="dxa" w:w="916"/>
            <w:shd w:fill="F8FAFC"/>
            <w:tcMar>
              <w:top w:w="60" w:type="dxa"/>
              <w:bottom w:w="60" w:type="dxa"/>
              <w:left w:w="80" w:type="dxa"/>
              <w:right w:w="80" w:type="dxa"/>
            </w:tcMar>
          </w:tcPr>
          <w:p>
            <w:pPr>
              <w:jc w:val="center"/>
            </w:pPr>
            <w:r>
              <w:rPr>
                <w:rFonts w:ascii="Arial" w:hAnsi="Arial"/>
                <w:b/>
                <w:color w:val="1095C1"/>
                <w:sz w:val="16"/>
              </w:rPr>
              <w:t>24.0%</w:t>
            </w:r>
          </w:p>
        </w:tc>
        <w:tc>
          <w:tcPr>
            <w:tcW w:type="dxa" w:w="916"/>
            <w:shd w:fill="F8FAFC"/>
            <w:tcMar>
              <w:top w:w="60" w:type="dxa"/>
              <w:bottom w:w="60" w:type="dxa"/>
              <w:left w:w="80" w:type="dxa"/>
              <w:right w:w="80" w:type="dxa"/>
            </w:tcMar>
          </w:tcPr>
          <w:p>
            <w:pPr>
              <w:jc w:val="center"/>
            </w:pPr>
            <w:r>
              <w:rPr>
                <w:rFonts w:ascii="Arial" w:hAnsi="Arial"/>
                <w:color w:val="1E293B"/>
                <w:sz w:val="16"/>
              </w:rPr>
              <w:t>55.0%</w:t>
            </w:r>
          </w:p>
        </w:tc>
        <w:tc>
          <w:tcPr>
            <w:tcW w:type="dxa" w:w="916"/>
            <w:shd w:fill="F8FAFC"/>
            <w:tcMar>
              <w:top w:w="60" w:type="dxa"/>
              <w:bottom w:w="60" w:type="dxa"/>
              <w:left w:w="80" w:type="dxa"/>
              <w:right w:w="80" w:type="dxa"/>
            </w:tcMar>
          </w:tcPr>
          <w:p>
            <w:pPr>
              <w:jc w:val="center"/>
            </w:pPr>
            <w:r>
              <w:rPr>
                <w:rFonts w:ascii="Arial" w:hAnsi="Arial"/>
                <w:color w:val="1E293B"/>
                <w:sz w:val="16"/>
              </w:rPr>
              <w:t>1.65</w:t>
            </w:r>
          </w:p>
        </w:tc>
        <w:tc>
          <w:tcPr>
            <w:tcW w:type="dxa" w:w="916"/>
            <w:shd w:fill="F8FAFC"/>
            <w:tcMar>
              <w:top w:w="60" w:type="dxa"/>
              <w:bottom w:w="60" w:type="dxa"/>
              <w:left w:w="80" w:type="dxa"/>
              <w:right w:w="80" w:type="dxa"/>
            </w:tcMar>
          </w:tcPr>
          <w:p>
            <w:pPr>
              <w:jc w:val="center"/>
            </w:pPr>
            <w:r>
              <w:rPr>
                <w:rFonts w:ascii="Arial" w:hAnsi="Arial"/>
                <w:color w:val="1E293B"/>
                <w:sz w:val="16"/>
              </w:rPr>
              <w:t>17.5%</w:t>
            </w:r>
          </w:p>
        </w:tc>
        <w:tc>
          <w:tcPr>
            <w:tcW w:type="dxa" w:w="916"/>
            <w:shd w:fill="F8FAFC"/>
            <w:tcMar>
              <w:top w:w="60" w:type="dxa"/>
              <w:bottom w:w="60" w:type="dxa"/>
              <w:left w:w="80" w:type="dxa"/>
              <w:right w:w="80" w:type="dxa"/>
            </w:tcMar>
          </w:tcPr>
          <w:p>
            <w:pPr>
              <w:jc w:val="left"/>
            </w:pPr>
            <w:r>
              <w:rPr>
                <w:rFonts w:ascii="Arial" w:hAnsi="Arial"/>
                <w:color w:val="1E293B"/>
                <w:sz w:val="16"/>
              </w:rPr>
              <w:t>Volume-weighted money flow detecting accumulation</w:t>
            </w:r>
          </w:p>
        </w:tc>
        <w:tc>
          <w:tcPr>
            <w:tcW w:type="dxa" w:w="916"/>
            <w:shd w:fill="F8FAFC"/>
            <w:tcMar>
              <w:top w:w="60" w:type="dxa"/>
              <w:bottom w:w="60" w:type="dxa"/>
              <w:left w:w="80" w:type="dxa"/>
              <w:right w:w="80" w:type="dxa"/>
            </w:tcMar>
          </w:tcPr>
          <w:p>
            <w:pPr>
              <w:jc w:val="left"/>
            </w:pPr>
            <w:r>
              <w:rPr>
                <w:rFonts w:ascii="Arial" w:hAnsi="Arial"/>
                <w:color w:val="1E293B"/>
                <w:sz w:val="16"/>
              </w:rPr>
              <w:t>Equities, Growth Stocks (1D, 1W)</w:t>
            </w:r>
          </w:p>
        </w:tc>
      </w:tr>
      <w:tr>
        <w:tc>
          <w:tcPr>
            <w:tcW w:type="dxa" w:w="916"/>
            <w:shd w:fill="FFFFFF"/>
            <w:tcMar>
              <w:top w:w="60" w:type="dxa"/>
              <w:bottom w:w="60" w:type="dxa"/>
              <w:left w:w="80" w:type="dxa"/>
              <w:right w:w="80" w:type="dxa"/>
            </w:tcMar>
          </w:tcPr>
          <w:p>
            <w:pPr>
              <w:jc w:val="center"/>
            </w:pPr>
            <w:r>
              <w:rPr>
                <w:rFonts w:ascii="Arial" w:hAnsi="Arial"/>
                <w:b/>
                <w:color w:val="1E3A8A"/>
                <w:sz w:val="16"/>
              </w:rPr>
              <w:t>#14</w:t>
            </w:r>
          </w:p>
        </w:tc>
        <w:tc>
          <w:tcPr>
            <w:tcW w:type="dxa" w:w="916"/>
            <w:shd w:fill="FFFFFF"/>
            <w:tcMar>
              <w:top w:w="60" w:type="dxa"/>
              <w:bottom w:w="60" w:type="dxa"/>
              <w:left w:w="80" w:type="dxa"/>
              <w:right w:w="80" w:type="dxa"/>
            </w:tcMar>
          </w:tcPr>
          <w:p>
            <w:pPr>
              <w:jc w:val="center"/>
            </w:pPr>
            <w:r>
              <w:rPr>
                <w:rFonts w:ascii="Arial" w:hAnsi="Arial"/>
                <w:b/>
                <w:color w:val="1E3A8A"/>
                <w:sz w:val="16"/>
              </w:rPr>
              <w:t>#14</w:t>
            </w:r>
          </w:p>
        </w:tc>
        <w:tc>
          <w:tcPr>
            <w:tcW w:type="dxa" w:w="916"/>
            <w:shd w:fill="FFFFFF"/>
            <w:tcMar>
              <w:top w:w="60" w:type="dxa"/>
              <w:bottom w:w="60" w:type="dxa"/>
              <w:left w:w="80" w:type="dxa"/>
              <w:right w:w="80" w:type="dxa"/>
            </w:tcMar>
          </w:tcPr>
          <w:p>
            <w:pPr>
              <w:jc w:val="center"/>
            </w:pPr>
            <w:r>
              <w:rPr>
                <w:rFonts w:ascii="Arial" w:hAnsi="Arial"/>
                <w:b/>
                <w:color w:val="C2650A"/>
                <w:sz w:val="16"/>
              </w:rPr>
              <w:t>16,500+</w:t>
            </w:r>
          </w:p>
        </w:tc>
        <w:tc>
          <w:tcPr>
            <w:tcW w:type="dxa" w:w="916"/>
            <w:shd w:fill="FFFFFF"/>
            <w:tcMar>
              <w:top w:w="60" w:type="dxa"/>
              <w:bottom w:w="60" w:type="dxa"/>
              <w:left w:w="80" w:type="dxa"/>
              <w:right w:w="80" w:type="dxa"/>
            </w:tcMar>
          </w:tcPr>
          <w:p>
            <w:pPr>
              <w:jc w:val="left"/>
            </w:pPr>
            <w:r>
              <w:rPr>
                <w:rFonts w:ascii="Arial" w:hAnsi="Arial"/>
                <w:color w:val="1E293B"/>
                <w:sz w:val="16"/>
              </w:rPr>
              <w:t>Adaptive ATR Breakout (AVR)</w:t>
            </w:r>
          </w:p>
        </w:tc>
        <w:tc>
          <w:tcPr>
            <w:tcW w:type="dxa" w:w="916"/>
            <w:shd w:fill="FFFFFF"/>
            <w:tcMar>
              <w:top w:w="60" w:type="dxa"/>
              <w:bottom w:w="60" w:type="dxa"/>
              <w:left w:w="80" w:type="dxa"/>
              <w:right w:w="80" w:type="dxa"/>
            </w:tcMar>
          </w:tcPr>
          <w:p>
            <w:pPr>
              <w:jc w:val="left"/>
            </w:pPr>
            <w:r>
              <w:rPr>
                <w:rFonts w:ascii="Arial" w:hAnsi="Arial"/>
                <w:color w:val="1E293B"/>
                <w:sz w:val="16"/>
              </w:rPr>
              <w:t>Repo Architecture</w:t>
            </w:r>
          </w:p>
        </w:tc>
        <w:tc>
          <w:tcPr>
            <w:tcW w:type="dxa" w:w="916"/>
            <w:shd w:fill="FFFFFF"/>
            <w:tcMar>
              <w:top w:w="60" w:type="dxa"/>
              <w:bottom w:w="60" w:type="dxa"/>
              <w:left w:w="80" w:type="dxa"/>
              <w:right w:w="80" w:type="dxa"/>
            </w:tcMar>
          </w:tcPr>
          <w:p>
            <w:pPr>
              <w:jc w:val="center"/>
            </w:pPr>
            <w:r>
              <w:rPr>
                <w:rFonts w:ascii="Arial" w:hAnsi="Arial"/>
                <w:b/>
                <w:color w:val="1095C1"/>
                <w:sz w:val="16"/>
              </w:rPr>
              <w:t>35.0%</w:t>
            </w:r>
          </w:p>
        </w:tc>
        <w:tc>
          <w:tcPr>
            <w:tcW w:type="dxa" w:w="916"/>
            <w:shd w:fill="FFFFFF"/>
            <w:tcMar>
              <w:top w:w="60" w:type="dxa"/>
              <w:bottom w:w="60" w:type="dxa"/>
              <w:left w:w="80" w:type="dxa"/>
              <w:right w:w="80" w:type="dxa"/>
            </w:tcMar>
          </w:tcPr>
          <w:p>
            <w:pPr>
              <w:jc w:val="center"/>
            </w:pPr>
            <w:r>
              <w:rPr>
                <w:rFonts w:ascii="Arial" w:hAnsi="Arial"/>
                <w:color w:val="1E293B"/>
                <w:sz w:val="16"/>
              </w:rPr>
              <w:t>57.5%</w:t>
            </w:r>
          </w:p>
        </w:tc>
        <w:tc>
          <w:tcPr>
            <w:tcW w:type="dxa" w:w="916"/>
            <w:shd w:fill="FFFFFF"/>
            <w:tcMar>
              <w:top w:w="60" w:type="dxa"/>
              <w:bottom w:w="60" w:type="dxa"/>
              <w:left w:w="80" w:type="dxa"/>
              <w:right w:w="80" w:type="dxa"/>
            </w:tcMar>
          </w:tcPr>
          <w:p>
            <w:pPr>
              <w:jc w:val="center"/>
            </w:pPr>
            <w:r>
              <w:rPr>
                <w:rFonts w:ascii="Arial" w:hAnsi="Arial"/>
                <w:color w:val="1E293B"/>
                <w:sz w:val="16"/>
              </w:rPr>
              <w:t>1.95</w:t>
            </w:r>
          </w:p>
        </w:tc>
        <w:tc>
          <w:tcPr>
            <w:tcW w:type="dxa" w:w="916"/>
            <w:shd w:fill="FFFFFF"/>
            <w:tcMar>
              <w:top w:w="60" w:type="dxa"/>
              <w:bottom w:w="60" w:type="dxa"/>
              <w:left w:w="80" w:type="dxa"/>
              <w:right w:w="80" w:type="dxa"/>
            </w:tcMar>
          </w:tcPr>
          <w:p>
            <w:pPr>
              <w:jc w:val="center"/>
            </w:pPr>
            <w:r>
              <w:rPr>
                <w:rFonts w:ascii="Arial" w:hAnsi="Arial"/>
                <w:color w:val="1E293B"/>
                <w:sz w:val="16"/>
              </w:rPr>
              <w:t>13.5%</w:t>
            </w:r>
          </w:p>
        </w:tc>
        <w:tc>
          <w:tcPr>
            <w:tcW w:type="dxa" w:w="916"/>
            <w:shd w:fill="FFFFFF"/>
            <w:tcMar>
              <w:top w:w="60" w:type="dxa"/>
              <w:bottom w:w="60" w:type="dxa"/>
              <w:left w:w="80" w:type="dxa"/>
              <w:right w:w="80" w:type="dxa"/>
            </w:tcMar>
          </w:tcPr>
          <w:p>
            <w:pPr>
              <w:jc w:val="left"/>
            </w:pPr>
            <w:r>
              <w:rPr>
                <w:rFonts w:ascii="Arial" w:hAnsi="Arial"/>
                <w:color w:val="1E293B"/>
                <w:sz w:val="16"/>
              </w:rPr>
              <w:t>Heikin-Ashi smoothed ATR channel + ADX regime auto-switch</w:t>
            </w:r>
          </w:p>
        </w:tc>
        <w:tc>
          <w:tcPr>
            <w:tcW w:type="dxa" w:w="916"/>
            <w:shd w:fill="FFFFFF"/>
            <w:tcMar>
              <w:top w:w="60" w:type="dxa"/>
              <w:bottom w:w="60" w:type="dxa"/>
              <w:left w:w="80" w:type="dxa"/>
              <w:right w:w="80" w:type="dxa"/>
            </w:tcMar>
          </w:tcPr>
          <w:p>
            <w:pPr>
              <w:jc w:val="left"/>
            </w:pPr>
            <w:r>
              <w:rPr>
                <w:rFonts w:ascii="Arial" w:hAnsi="Arial"/>
                <w:color w:val="1E293B"/>
                <w:sz w:val="16"/>
              </w:rPr>
              <w:t>Options, Equities (4H, 1D, 1W)</w:t>
            </w:r>
          </w:p>
        </w:tc>
      </w:tr>
      <w:tr>
        <w:tc>
          <w:tcPr>
            <w:tcW w:type="dxa" w:w="916"/>
            <w:shd w:fill="F8FAFC"/>
            <w:tcMar>
              <w:top w:w="60" w:type="dxa"/>
              <w:bottom w:w="60" w:type="dxa"/>
              <w:left w:w="80" w:type="dxa"/>
              <w:right w:w="80" w:type="dxa"/>
            </w:tcMar>
          </w:tcPr>
          <w:p>
            <w:pPr>
              <w:jc w:val="center"/>
            </w:pPr>
            <w:r>
              <w:rPr>
                <w:rFonts w:ascii="Arial" w:hAnsi="Arial"/>
                <w:b/>
                <w:color w:val="1E3A8A"/>
                <w:sz w:val="16"/>
              </w:rPr>
              <w:t>#15</w:t>
            </w:r>
          </w:p>
        </w:tc>
        <w:tc>
          <w:tcPr>
            <w:tcW w:type="dxa" w:w="916"/>
            <w:shd w:fill="F8FAFC"/>
            <w:tcMar>
              <w:top w:w="60" w:type="dxa"/>
              <w:bottom w:w="60" w:type="dxa"/>
              <w:left w:w="80" w:type="dxa"/>
              <w:right w:w="80" w:type="dxa"/>
            </w:tcMar>
          </w:tcPr>
          <w:p>
            <w:pPr>
              <w:jc w:val="center"/>
            </w:pPr>
            <w:r>
              <w:rPr>
                <w:rFonts w:ascii="Arial" w:hAnsi="Arial"/>
                <w:b/>
                <w:color w:val="1E3A8A"/>
                <w:sz w:val="16"/>
              </w:rPr>
              <w:t>#15</w:t>
            </w:r>
          </w:p>
        </w:tc>
        <w:tc>
          <w:tcPr>
            <w:tcW w:type="dxa" w:w="916"/>
            <w:shd w:fill="F8FAFC"/>
            <w:tcMar>
              <w:top w:w="60" w:type="dxa"/>
              <w:bottom w:w="60" w:type="dxa"/>
              <w:left w:w="80" w:type="dxa"/>
              <w:right w:w="80" w:type="dxa"/>
            </w:tcMar>
          </w:tcPr>
          <w:p>
            <w:pPr>
              <w:jc w:val="center"/>
            </w:pPr>
            <w:r>
              <w:rPr>
                <w:rFonts w:ascii="Arial" w:hAnsi="Arial"/>
                <w:b/>
                <w:color w:val="C2650A"/>
                <w:sz w:val="16"/>
              </w:rPr>
              <w:t>25,000+</w:t>
            </w:r>
          </w:p>
        </w:tc>
        <w:tc>
          <w:tcPr>
            <w:tcW w:type="dxa" w:w="916"/>
            <w:shd w:fill="F8FAFC"/>
            <w:tcMar>
              <w:top w:w="60" w:type="dxa"/>
              <w:bottom w:w="60" w:type="dxa"/>
              <w:left w:w="80" w:type="dxa"/>
              <w:right w:w="80" w:type="dxa"/>
            </w:tcMar>
          </w:tcPr>
          <w:p>
            <w:pPr>
              <w:jc w:val="left"/>
            </w:pPr>
            <w:r>
              <w:rPr>
                <w:rFonts w:ascii="Arial" w:hAnsi="Arial"/>
                <w:color w:val="1E293B"/>
                <w:sz w:val="16"/>
              </w:rPr>
              <w:t>BB + RSI Mean Reversion</w:t>
            </w:r>
          </w:p>
        </w:tc>
        <w:tc>
          <w:tcPr>
            <w:tcW w:type="dxa" w:w="916"/>
            <w:shd w:fill="F8FAFC"/>
            <w:tcMar>
              <w:top w:w="60" w:type="dxa"/>
              <w:bottom w:w="60" w:type="dxa"/>
              <w:left w:w="80" w:type="dxa"/>
              <w:right w:w="80" w:type="dxa"/>
            </w:tcMar>
          </w:tcPr>
          <w:p>
            <w:pPr>
              <w:jc w:val="left"/>
            </w:pPr>
            <w:r>
              <w:rPr>
                <w:rFonts w:ascii="Arial" w:hAnsi="Arial"/>
                <w:color w:val="1E293B"/>
                <w:sz w:val="16"/>
              </w:rPr>
              <w:t>Classic Open Source</w:t>
            </w:r>
          </w:p>
        </w:tc>
        <w:tc>
          <w:tcPr>
            <w:tcW w:type="dxa" w:w="916"/>
            <w:shd w:fill="F8FAFC"/>
            <w:tcMar>
              <w:top w:w="60" w:type="dxa"/>
              <w:bottom w:w="60" w:type="dxa"/>
              <w:left w:w="80" w:type="dxa"/>
              <w:right w:w="80" w:type="dxa"/>
            </w:tcMar>
          </w:tcPr>
          <w:p>
            <w:pPr>
              <w:jc w:val="center"/>
            </w:pPr>
            <w:r>
              <w:rPr>
                <w:rFonts w:ascii="Arial" w:hAnsi="Arial"/>
                <w:b/>
                <w:color w:val="1095C1"/>
                <w:sz w:val="16"/>
              </w:rPr>
              <w:t>22.0%</w:t>
            </w:r>
          </w:p>
        </w:tc>
        <w:tc>
          <w:tcPr>
            <w:tcW w:type="dxa" w:w="916"/>
            <w:shd w:fill="F8FAFC"/>
            <w:tcMar>
              <w:top w:w="60" w:type="dxa"/>
              <w:bottom w:w="60" w:type="dxa"/>
              <w:left w:w="80" w:type="dxa"/>
              <w:right w:w="80" w:type="dxa"/>
            </w:tcMar>
          </w:tcPr>
          <w:p>
            <w:pPr>
              <w:jc w:val="center"/>
            </w:pPr>
            <w:r>
              <w:rPr>
                <w:rFonts w:ascii="Arial" w:hAnsi="Arial"/>
                <w:color w:val="1E293B"/>
                <w:sz w:val="16"/>
              </w:rPr>
              <w:t>64.0%</w:t>
            </w:r>
          </w:p>
        </w:tc>
        <w:tc>
          <w:tcPr>
            <w:tcW w:type="dxa" w:w="916"/>
            <w:shd w:fill="F8FAFC"/>
            <w:tcMar>
              <w:top w:w="60" w:type="dxa"/>
              <w:bottom w:w="60" w:type="dxa"/>
              <w:left w:w="80" w:type="dxa"/>
              <w:right w:w="80" w:type="dxa"/>
            </w:tcMar>
          </w:tcPr>
          <w:p>
            <w:pPr>
              <w:jc w:val="center"/>
            </w:pPr>
            <w:r>
              <w:rPr>
                <w:rFonts w:ascii="Arial" w:hAnsi="Arial"/>
                <w:color w:val="1E293B"/>
                <w:sz w:val="16"/>
              </w:rPr>
              <w:t>1.55</w:t>
            </w:r>
          </w:p>
        </w:tc>
        <w:tc>
          <w:tcPr>
            <w:tcW w:type="dxa" w:w="916"/>
            <w:shd w:fill="F8FAFC"/>
            <w:tcMar>
              <w:top w:w="60" w:type="dxa"/>
              <w:bottom w:w="60" w:type="dxa"/>
              <w:left w:w="80" w:type="dxa"/>
              <w:right w:w="80" w:type="dxa"/>
            </w:tcMar>
          </w:tcPr>
          <w:p>
            <w:pPr>
              <w:jc w:val="center"/>
            </w:pPr>
            <w:r>
              <w:rPr>
                <w:rFonts w:ascii="Arial" w:hAnsi="Arial"/>
                <w:color w:val="1E293B"/>
                <w:sz w:val="16"/>
              </w:rPr>
              <w:t>21.5%</w:t>
            </w:r>
          </w:p>
        </w:tc>
        <w:tc>
          <w:tcPr>
            <w:tcW w:type="dxa" w:w="916"/>
            <w:shd w:fill="F8FAFC"/>
            <w:tcMar>
              <w:top w:w="60" w:type="dxa"/>
              <w:bottom w:w="60" w:type="dxa"/>
              <w:left w:w="80" w:type="dxa"/>
              <w:right w:w="80" w:type="dxa"/>
            </w:tcMar>
          </w:tcPr>
          <w:p>
            <w:pPr>
              <w:jc w:val="left"/>
            </w:pPr>
            <w:r>
              <w:rPr>
                <w:rFonts w:ascii="Arial" w:hAnsi="Arial"/>
                <w:color w:val="1E293B"/>
                <w:sz w:val="16"/>
              </w:rPr>
              <w:t>Statistical 2.0-StdDev channel bounce with RSI exhaustion</w:t>
            </w:r>
          </w:p>
        </w:tc>
        <w:tc>
          <w:tcPr>
            <w:tcW w:type="dxa" w:w="916"/>
            <w:shd w:fill="F8FAFC"/>
            <w:tcMar>
              <w:top w:w="60" w:type="dxa"/>
              <w:bottom w:w="60" w:type="dxa"/>
              <w:left w:w="80" w:type="dxa"/>
              <w:right w:w="80" w:type="dxa"/>
            </w:tcMar>
          </w:tcPr>
          <w:p>
            <w:pPr>
              <w:jc w:val="left"/>
            </w:pPr>
            <w:r>
              <w:rPr>
                <w:rFonts w:ascii="Arial" w:hAnsi="Arial"/>
                <w:color w:val="1E293B"/>
                <w:sz w:val="16"/>
              </w:rPr>
              <w:t>Broad Indices (SPY, QQQ) (1H, 4H, 1D)</w:t>
            </w:r>
          </w:p>
        </w:tc>
      </w:tr>
    </w:tbl>
    <w:p>
      <w:pPr>
        <w:spacing w:after="240"/>
      </w:pPr>
    </w:p>
    <w:p>
      <w:r>
        <w:rPr>
          <w:rFonts w:ascii="Arial" w:hAnsi="Arial"/>
          <w:b/>
          <w:color w:val="1E3A8A"/>
          <w:sz w:val="26"/>
        </w:rPr>
        <w:t>How to Deploy with ATW (Auto Trading Web)</w:t>
      </w:r>
    </w:p>
    <w:p>
      <w:pPr>
        <w:spacing w:after="60"/>
        <w:ind w:left="288"/>
      </w:pPr>
      <w:r>
        <w:rPr>
          <w:rFonts w:ascii="Arial" w:hAnsi="Arial"/>
          <w:b/>
          <w:color w:val="0F172A"/>
          <w:sz w:val="19"/>
        </w:rPr>
        <w:t xml:space="preserve">• 1. Strategy Selection: </w:t>
      </w:r>
      <w:r>
        <w:rPr>
          <w:rFonts w:ascii="Arial" w:hAnsi="Arial"/>
          <w:color w:val="475569"/>
          <w:sz w:val="19"/>
        </w:rPr>
        <w:t>Choose an open-source strategy matching your risk profile (e.g. Squeeze Momentum for breakout swings, AlphaTrend for directional trends).</w:t>
      </w:r>
    </w:p>
    <w:p>
      <w:pPr>
        <w:spacing w:after="60"/>
        <w:ind w:left="288"/>
      </w:pPr>
      <w:r>
        <w:rPr>
          <w:rFonts w:ascii="Arial" w:hAnsi="Arial"/>
          <w:b/>
          <w:color w:val="0F172A"/>
          <w:sz w:val="19"/>
        </w:rPr>
        <w:t xml:space="preserve">• 2. Setup in TradingView: </w:t>
      </w:r>
      <w:r>
        <w:rPr>
          <w:rFonts w:ascii="Arial" w:hAnsi="Arial"/>
          <w:color w:val="475569"/>
          <w:sz w:val="19"/>
        </w:rPr>
        <w:t>Add the script from TradingView Community Scripts or paste the repo Pine code in the Pine Editor.</w:t>
      </w:r>
    </w:p>
    <w:p>
      <w:pPr>
        <w:spacing w:after="60"/>
        <w:ind w:left="288"/>
      </w:pPr>
      <w:r>
        <w:rPr>
          <w:rFonts w:ascii="Arial" w:hAnsi="Arial"/>
          <w:b/>
          <w:color w:val="0F172A"/>
          <w:sz w:val="19"/>
        </w:rPr>
        <w:t xml:space="preserve">• 3. Webhook Alert Configuration: </w:t>
      </w:r>
      <w:r>
        <w:rPr>
          <w:rFonts w:ascii="Arial" w:hAnsi="Arial"/>
          <w:color w:val="475569"/>
          <w:sz w:val="19"/>
        </w:rPr>
        <w:t>Create a TradingView alert pointing to your ATW Webhook URL: https://&lt;your-cloud-run-url&gt;/api/webhook</w:t>
      </w:r>
    </w:p>
    <w:p>
      <w:pPr>
        <w:spacing w:after="60"/>
        <w:ind w:left="288"/>
      </w:pPr>
      <w:r>
        <w:rPr>
          <w:rFonts w:ascii="Arial" w:hAnsi="Arial"/>
          <w:b/>
          <w:color w:val="0F172A"/>
          <w:sz w:val="19"/>
        </w:rPr>
        <w:t xml:space="preserve">• 4. JSON Payload Format: </w:t>
      </w:r>
      <w:r>
        <w:rPr>
          <w:rFonts w:ascii="Arial" w:hAnsi="Arial"/>
          <w:color w:val="475569"/>
          <w:sz w:val="19"/>
        </w:rPr>
        <w:t>Set message to: {"action":"{{strategy.order.action}}","symbol":"{{ticker}}","price":{{close}},"qty":{{strategy.order.contracts}}}</w:t>
      </w:r>
    </w:p>
    <w:p>
      <w:pPr>
        <w:spacing w:after="60"/>
        <w:ind w:left="288"/>
      </w:pPr>
      <w:r>
        <w:rPr>
          <w:rFonts w:ascii="Arial" w:hAnsi="Arial"/>
          <w:b/>
          <w:color w:val="0F172A"/>
          <w:sz w:val="19"/>
        </w:rPr>
        <w:t xml:space="preserve">• 5. Risk Guardrails: </w:t>
      </w:r>
      <w:r>
        <w:rPr>
          <w:rFonts w:ascii="Arial" w:hAnsi="Arial"/>
          <w:color w:val="475569"/>
          <w:sz w:val="19"/>
        </w:rPr>
        <w:t>ATW enforces portfolio stop losses, position sizing limits, and automatic hedging (SQQQ/TZA/LABD) automatically.</w:t>
      </w:r>
    </w:p>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Segoe UI" w:hAnsi="Segoe UI"/>
        <w:color w:val="6B7280"/>
        <w:sz w:val="17"/>
      </w:rPr>
      <w:t xml:space="preserve">Page </w:t>
    </w:r>
    <w:r>
      <w:fldSimple w:instr="PAGE"/>
    </w:r>
    <w:r>
      <w:rPr>
        <w:rFonts w:ascii="Segoe UI" w:hAnsi="Segoe UI"/>
        <w:color w:val="6B7280"/>
        <w:sz w:val="17"/>
      </w:rPr>
      <w:t xml:space="preserve"> of </w:t>
    </w:r>
    <w:r>
      <w:fldSimple w:instr="NUMPAGES"/>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jc w:val="center"/>
      <w:tblLook w:firstColumn="1" w:firstRow="1" w:lastColumn="0" w:lastRow="0" w:noHBand="0" w:noVBand="1" w:val="04A0"/>
      <w:tblBorders>
        <w:top w:val="none"/>
        <w:left w:val="none"/>
        <w:bottom w:val="single" w:sz="6" w:space="0" w:color="E5E7EB"/>
        <w:right w:val="none"/>
        <w:insideH w:val="none"/>
        <w:insideV w:val="none"/>
      </w:tblBorders>
    </w:tblPr>
    <w:tblGrid>
      <w:gridCol w:w="3360"/>
      <w:gridCol w:w="3360"/>
      <w:gridCol w:w="3360"/>
    </w:tblGrid>
    <w:tr>
      <w:tc>
        <w:tcPr>
          <w:tcW w:type="dxa" w:w="3360"/>
        </w:tcPr>
        <w:p>
          <w:pPr>
            <w:jc w:val="left"/>
          </w:pPr>
          <w:r>
            <w:rPr>
              <w:rFonts w:ascii="Segoe UI" w:hAnsi="Segoe UI"/>
              <w:color w:val="6B7280"/>
              <w:sz w:val="17"/>
            </w:rPr>
            <w:t>Created: 15/09/2026</w:t>
          </w:r>
        </w:p>
      </w:tc>
      <w:tc>
        <w:tcPr>
          <w:tcW w:type="dxa" w:w="3360"/>
        </w:tcPr>
        <w:p>
          <w:pPr>
            <w:jc w:val="center"/>
          </w:pPr>
          <w:r>
            <w:rPr>
              <w:position w:val="-7"/>
            </w:rPr>
            <w:drawing>
              <wp:inline xmlns:a="http://schemas.openxmlformats.org/drawingml/2006/main" xmlns:pic="http://schemas.openxmlformats.org/drawingml/2006/picture">
                <wp:extent cx="219456" cy="201168"/>
                <wp:docPr id="1" name="Picture 1"/>
                <wp:cNvGraphicFramePr>
                  <a:graphicFrameLocks noChangeAspect="1"/>
                </wp:cNvGraphicFramePr>
                <a:graphic>
                  <a:graphicData uri="http://schemas.openxmlformats.org/drawingml/2006/picture">
                    <pic:pic>
                      <pic:nvPicPr>
                        <pic:cNvPr id="0" name="phoenix_icon_header_dark.png"/>
                        <pic:cNvPicPr/>
                      </pic:nvPicPr>
                      <pic:blipFill>
                        <a:blip r:embed="rId2"/>
                        <a:stretch>
                          <a:fillRect/>
                        </a:stretch>
                      </pic:blipFill>
                      <pic:spPr>
                        <a:xfrm>
                          <a:off x="0" y="0"/>
                          <a:ext cx="219456" cy="201168"/>
                        </a:xfrm>
                        <a:prstGeom prst="rect"/>
                      </pic:spPr>
                    </pic:pic>
                  </a:graphicData>
                </a:graphic>
              </wp:inline>
            </w:drawing>
          </w:r>
          <w:r>
            <w:t xml:space="preserve"> </w:t>
          </w:r>
          <w:r>
            <w:rPr>
              <w:rFonts w:ascii="Segoe UI Semibold" w:hAnsi="Segoe UI Semibold"/>
              <w:b/>
              <w:color w:val="1E3A8A"/>
              <w:sz w:val="20"/>
            </w:rPr>
            <w:t>PhoenixAlgos™</w:t>
          </w:r>
        </w:p>
      </w:tc>
      <w:tc>
        <w:tcPr>
          <w:tcW w:type="dxa" w:w="3360"/>
        </w:tcPr>
        <w:p>
          <w:pPr>
            <w:jc w:val="right"/>
          </w:pPr>
          <w:r>
            <w:rPr>
              <w:rFonts w:ascii="Segoe UI" w:hAnsi="Segoe UI"/>
              <w:color w:val="6B7280"/>
              <w:sz w:val="17"/>
            </w:rPr>
            <w:t>Updated: 23/09/2026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