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Segoe UI Semibold" w:hAnsi="Segoe UI Semibold"/>
          <w:b/>
          <w:color w:val="0F172A"/>
          <w:sz w:val="40"/>
        </w:rPr>
        <w:t>PhoenixAlgos Auto Trading Web (ATW)</w:t>
        <w:br/>
        <w:t>Tools, Trading Desks &amp; Executive Commands User Guide</w:t>
      </w:r>
    </w:p>
    <w:p>
      <w:pPr>
        <w:jc w:val="center"/>
      </w:pPr>
      <w:r>
        <w:rPr>
          <w:i/>
          <w:color w:val="64748B"/>
          <w:sz w:val="20"/>
        </w:rPr>
        <w:t>Official Knowledge Base &amp; Self-Help Manual | Release 2026-09 | Production URL: phoenixalgos.com</w:t>
      </w:r>
    </w:p>
    <w:p/>
    <w:tbl>
      <w:tblPr>
        <w:tblW w:type="auto" w:w="0"/>
        <w:jc w:val="center"/>
        <w:tblLayout w:type="fixed"/>
        <w:tblLook w:firstColumn="1" w:firstRow="1" w:lastColumn="0" w:lastRow="0" w:noHBand="0" w:noVBand="1" w:val="04A0"/>
      </w:tblPr>
      <w:tblGrid>
        <w:gridCol w:w="10080"/>
      </w:tblGrid>
      <w:tr>
        <w:tc>
          <w:tcPr>
            <w:tcW w:type="dxa" w:w="10080"/>
            <w:shd w:fill="F1F5F9"/>
            <w:tcMar>
              <w:top w:w="160" w:type="dxa"/>
              <w:bottom w:w="160" w:type="dxa"/>
              <w:left w:w="200" w:type="dxa"/>
              <w:right w:w="200" w:type="dxa"/>
            </w:tcMar>
          </w:tcPr>
          <w:p>
            <w:r>
              <w:rPr>
                <w:b/>
                <w:color w:val="1E3A8A"/>
              </w:rPr>
              <w:t xml:space="preserve">📌 Purpose &amp; Overview: </w:t>
            </w:r>
            <w:r>
              <w:rPr>
                <w:color w:val="334155"/>
                <w:sz w:val="19"/>
              </w:rPr>
              <w:t>This self-help guide provides an exhaustive inventory and operational manual for all 13 interactive trading desks, ergonomic cockpit utilities, quantitative strategy models, and executive AI copilot commands available in the PhoenixAlgos Auto Trading Web (ATW) platform. All trading desks adhere to the Zero-Horizontal-Scrolling institutional standard, WCAG AAA high-contrast readability, and pre-flight defensive confirmation rules.</w:t>
            </w:r>
          </w:p>
        </w:tc>
      </w:tr>
    </w:tbl>
    <w:p/>
    <w:p>
      <w:pPr>
        <w:pStyle w:val="Heading1"/>
      </w:pPr>
      <w:r>
        <w:t>1. Interactive Web Cockpit Desks (Navigation &amp; Hotkeys)</w:t>
      </w:r>
    </w:p>
    <w:p>
      <w:r>
        <w:t>Traders can instantly navigate across desks using the sub-navbar or by pressing the single-key hotkey from anywhere in the platform without touching the mouse:</w:t>
      </w:r>
    </w:p>
    <w:tbl>
      <w:tblPr>
        <w:tblW w:type="auto" w:w="0"/>
        <w:jc w:val="center"/>
        <w:tblLayout w:type="fixed"/>
        <w:tblLook w:firstColumn="1" w:firstRow="1" w:lastColumn="0" w:lastRow="0" w:noHBand="0" w:noVBand="1" w:val="04A0"/>
      </w:tblPr>
      <w:tblGrid>
        <w:gridCol w:w="1296"/>
        <w:gridCol w:w="3312"/>
        <w:gridCol w:w="5472"/>
      </w:tblGrid>
      <w:tr>
        <w:tc>
          <w:tcPr>
            <w:tcW w:type="dxa" w:w="3360"/>
            <w:tcMar>
              <w:top w:w="100" w:type="dxa"/>
              <w:bottom w:w="100" w:type="dxa"/>
              <w:left w:w="120" w:type="dxa"/>
              <w:right w:w="120" w:type="dxa"/>
            </w:tcMar>
            <w:shd w:fill="0F172A"/>
          </w:tcPr>
          <w:p>
            <w:r>
              <w:rPr>
                <w:b/>
                <w:color w:val="FFFFFF"/>
                <w:sz w:val="18"/>
              </w:rPr>
              <w:t>Hotkey</w:t>
            </w:r>
          </w:p>
        </w:tc>
        <w:tc>
          <w:tcPr>
            <w:tcW w:type="dxa" w:w="3360"/>
            <w:tcMar>
              <w:top w:w="100" w:type="dxa"/>
              <w:bottom w:w="100" w:type="dxa"/>
              <w:left w:w="120" w:type="dxa"/>
              <w:right w:w="120" w:type="dxa"/>
            </w:tcMar>
            <w:shd w:fill="0F172A"/>
          </w:tcPr>
          <w:p>
            <w:r>
              <w:rPr>
                <w:b/>
                <w:color w:val="FFFFFF"/>
                <w:sz w:val="18"/>
              </w:rPr>
              <w:t>Trading Desk / Tool</w:t>
            </w:r>
          </w:p>
        </w:tc>
        <w:tc>
          <w:tcPr>
            <w:tcW w:type="dxa" w:w="3360"/>
            <w:tcMar>
              <w:top w:w="100" w:type="dxa"/>
              <w:bottom w:w="100" w:type="dxa"/>
              <w:left w:w="120" w:type="dxa"/>
              <w:right w:w="120" w:type="dxa"/>
            </w:tcMar>
            <w:shd w:fill="0F172A"/>
          </w:tcPr>
          <w:p>
            <w:r>
              <w:rPr>
                <w:b/>
                <w:color w:val="FFFFFF"/>
                <w:sz w:val="18"/>
              </w:rPr>
              <w:t>Primary Capabilities &amp; Quant Functionality</w:t>
            </w:r>
          </w:p>
        </w:tc>
      </w:tr>
      <w:tr>
        <w:tc>
          <w:tcPr>
            <w:tcW w:type="dxa" w:w="3360"/>
            <w:tcMar>
              <w:top w:w="100" w:type="dxa"/>
              <w:bottom w:w="100" w:type="dxa"/>
              <w:left w:w="120" w:type="dxa"/>
              <w:right w:w="120" w:type="dxa"/>
            </w:tcMar>
            <w:shd w:fill="FFFFFF"/>
          </w:tcPr>
          <w:p>
            <w:pPr>
              <w:jc w:val="center"/>
            </w:pPr>
            <w:r>
              <w:rPr>
                <w:b/>
                <w:color w:val="2563EB"/>
                <w:sz w:val="17"/>
              </w:rPr>
              <w:t>1</w:t>
            </w:r>
          </w:p>
        </w:tc>
        <w:tc>
          <w:tcPr>
            <w:tcW w:type="dxa" w:w="3360"/>
            <w:tcMar>
              <w:top w:w="100" w:type="dxa"/>
              <w:bottom w:w="100" w:type="dxa"/>
              <w:left w:w="120" w:type="dxa"/>
              <w:right w:w="120" w:type="dxa"/>
            </w:tcMar>
            <w:shd w:fill="FFFFFF"/>
          </w:tcPr>
          <w:p>
            <w:r>
              <w:rPr>
                <w:b/>
                <w:color w:val="1E293B"/>
                <w:sz w:val="17"/>
              </w:rPr>
              <w:t>AI Portfolio Audit &amp; Strategy Optimizer</w:t>
            </w:r>
          </w:p>
        </w:tc>
        <w:tc>
          <w:tcPr>
            <w:tcW w:type="dxa" w:w="3360"/>
            <w:tcMar>
              <w:top w:w="100" w:type="dxa"/>
              <w:bottom w:w="100" w:type="dxa"/>
              <w:left w:w="120" w:type="dxa"/>
              <w:right w:w="120" w:type="dxa"/>
            </w:tcMar>
            <w:shd w:fill="FFFFFF"/>
          </w:tcPr>
          <w:p>
            <w:r>
              <w:rPr>
                <w:color w:val="334155"/>
                <w:sz w:val="17"/>
              </w:rPr>
              <w:t>Portfolio Health Score (0-100 / Grade A-F), diversification entropy, regime risk assessment, and 5-strategy institutional rebalancer (Capital Rotation, De-leveraging, Macro Hedging, Trajectory, Drift Clean).</w:t>
            </w:r>
          </w:p>
        </w:tc>
      </w:tr>
      <w:tr>
        <w:tc>
          <w:tcPr>
            <w:tcW w:type="dxa" w:w="3360"/>
            <w:tcMar>
              <w:top w:w="100" w:type="dxa"/>
              <w:bottom w:w="100" w:type="dxa"/>
              <w:left w:w="120" w:type="dxa"/>
              <w:right w:w="120" w:type="dxa"/>
            </w:tcMar>
            <w:shd w:fill="F8FAFC"/>
          </w:tcPr>
          <w:p>
            <w:pPr>
              <w:jc w:val="center"/>
            </w:pPr>
            <w:r>
              <w:rPr>
                <w:b/>
                <w:color w:val="2563EB"/>
                <w:sz w:val="17"/>
              </w:rPr>
              <w:t>2</w:t>
            </w:r>
          </w:p>
        </w:tc>
        <w:tc>
          <w:tcPr>
            <w:tcW w:type="dxa" w:w="3360"/>
            <w:tcMar>
              <w:top w:w="100" w:type="dxa"/>
              <w:bottom w:w="100" w:type="dxa"/>
              <w:left w:w="120" w:type="dxa"/>
              <w:right w:w="120" w:type="dxa"/>
            </w:tcMar>
            <w:shd w:fill="F8FAFC"/>
          </w:tcPr>
          <w:p>
            <w:r>
              <w:rPr>
                <w:b/>
                <w:color w:val="1E293B"/>
                <w:sz w:val="17"/>
              </w:rPr>
              <w:t>Interactive Charts &amp; Pine Indicators</w:t>
            </w:r>
          </w:p>
        </w:tc>
        <w:tc>
          <w:tcPr>
            <w:tcW w:type="dxa" w:w="3360"/>
            <w:tcMar>
              <w:top w:w="100" w:type="dxa"/>
              <w:bottom w:w="100" w:type="dxa"/>
              <w:left w:w="120" w:type="dxa"/>
              <w:right w:w="120" w:type="dxa"/>
            </w:tcMar>
            <w:shd w:fill="F8FAFC"/>
          </w:tcPr>
          <w:p>
            <w:r>
              <w:rPr>
                <w:color w:val="334155"/>
                <w:sz w:val="17"/>
              </w:rPr>
              <w:t>TradingView embedded technical charts with multi-timeframe moving averages, Adapt RSI v12, ATR Breakout v13, and MTF TrendFlow Squeeze overlays across 1m to 1D candles.</w:t>
            </w:r>
          </w:p>
        </w:tc>
      </w:tr>
      <w:tr>
        <w:tc>
          <w:tcPr>
            <w:tcW w:type="dxa" w:w="3360"/>
            <w:tcMar>
              <w:top w:w="100" w:type="dxa"/>
              <w:bottom w:w="100" w:type="dxa"/>
              <w:left w:w="120" w:type="dxa"/>
              <w:right w:w="120" w:type="dxa"/>
            </w:tcMar>
            <w:shd w:fill="FFFFFF"/>
          </w:tcPr>
          <w:p>
            <w:pPr>
              <w:jc w:val="center"/>
            </w:pPr>
            <w:r>
              <w:rPr>
                <w:b/>
                <w:color w:val="2563EB"/>
                <w:sz w:val="17"/>
              </w:rPr>
              <w:t>3</w:t>
            </w:r>
          </w:p>
        </w:tc>
        <w:tc>
          <w:tcPr>
            <w:tcW w:type="dxa" w:w="3360"/>
            <w:tcMar>
              <w:top w:w="100" w:type="dxa"/>
              <w:bottom w:w="100" w:type="dxa"/>
              <w:left w:w="120" w:type="dxa"/>
              <w:right w:w="120" w:type="dxa"/>
            </w:tcMar>
            <w:shd w:fill="FFFFFF"/>
          </w:tcPr>
          <w:p>
            <w:r>
              <w:rPr>
                <w:b/>
                <w:color w:val="1E293B"/>
                <w:sz w:val="17"/>
              </w:rPr>
              <w:t>Market Momentum Heatmaps</w:t>
            </w:r>
          </w:p>
        </w:tc>
        <w:tc>
          <w:tcPr>
            <w:tcW w:type="dxa" w:w="3360"/>
            <w:tcMar>
              <w:top w:w="100" w:type="dxa"/>
              <w:bottom w:w="100" w:type="dxa"/>
              <w:left w:w="120" w:type="dxa"/>
              <w:right w:w="120" w:type="dxa"/>
            </w:tcMar>
            <w:shd w:fill="FFFFFF"/>
          </w:tcPr>
          <w:p>
            <w:r>
              <w:rPr>
                <w:color w:val="334155"/>
                <w:sz w:val="17"/>
              </w:rPr>
              <w:t>Visual relative-strength and performance heatmaps across S&amp;P 500 sectors, identifying leading market flow vs. laggard sectors in real time.</w:t>
            </w:r>
          </w:p>
        </w:tc>
      </w:tr>
      <w:tr>
        <w:tc>
          <w:tcPr>
            <w:tcW w:type="dxa" w:w="3360"/>
            <w:tcMar>
              <w:top w:w="100" w:type="dxa"/>
              <w:bottom w:w="100" w:type="dxa"/>
              <w:left w:w="120" w:type="dxa"/>
              <w:right w:w="120" w:type="dxa"/>
            </w:tcMar>
            <w:shd w:fill="F8FAFC"/>
          </w:tcPr>
          <w:p>
            <w:pPr>
              <w:jc w:val="center"/>
            </w:pPr>
            <w:r>
              <w:rPr>
                <w:b/>
                <w:color w:val="2563EB"/>
                <w:sz w:val="17"/>
              </w:rPr>
              <w:t>4</w:t>
            </w:r>
          </w:p>
        </w:tc>
        <w:tc>
          <w:tcPr>
            <w:tcW w:type="dxa" w:w="3360"/>
            <w:tcMar>
              <w:top w:w="100" w:type="dxa"/>
              <w:bottom w:w="100" w:type="dxa"/>
              <w:left w:w="120" w:type="dxa"/>
              <w:right w:w="120" w:type="dxa"/>
            </w:tcMar>
            <w:shd w:fill="F8FAFC"/>
          </w:tcPr>
          <w:p>
            <w:r>
              <w:rPr>
                <w:b/>
                <w:color w:val="1E293B"/>
                <w:sz w:val="17"/>
              </w:rPr>
              <w:t>Macro News Wire Scanner</w:t>
            </w:r>
          </w:p>
        </w:tc>
        <w:tc>
          <w:tcPr>
            <w:tcW w:type="dxa" w:w="3360"/>
            <w:tcMar>
              <w:top w:w="100" w:type="dxa"/>
              <w:bottom w:w="100" w:type="dxa"/>
              <w:left w:w="120" w:type="dxa"/>
              <w:right w:w="120" w:type="dxa"/>
            </w:tcMar>
            <w:shd w:fill="F8FAFC"/>
          </w:tcPr>
          <w:p>
            <w:r>
              <w:rPr>
                <w:color w:val="334155"/>
                <w:sz w:val="17"/>
              </w:rPr>
              <w:t>Sub-second memoized wire feed with institutional impact tagging (Critical Macro, Corporate Catalysts, Crypto Liquidity) and actionable financial implications.</w:t>
            </w:r>
          </w:p>
        </w:tc>
      </w:tr>
      <w:tr>
        <w:tc>
          <w:tcPr>
            <w:tcW w:type="dxa" w:w="3360"/>
            <w:tcMar>
              <w:top w:w="100" w:type="dxa"/>
              <w:bottom w:w="100" w:type="dxa"/>
              <w:left w:w="120" w:type="dxa"/>
              <w:right w:w="120" w:type="dxa"/>
            </w:tcMar>
            <w:shd w:fill="FFFFFF"/>
          </w:tcPr>
          <w:p>
            <w:pPr>
              <w:jc w:val="center"/>
            </w:pPr>
            <w:r>
              <w:rPr>
                <w:b/>
                <w:color w:val="2563EB"/>
                <w:sz w:val="17"/>
              </w:rPr>
              <w:t>5</w:t>
            </w:r>
          </w:p>
        </w:tc>
        <w:tc>
          <w:tcPr>
            <w:tcW w:type="dxa" w:w="3360"/>
            <w:tcMar>
              <w:top w:w="100" w:type="dxa"/>
              <w:bottom w:w="100" w:type="dxa"/>
              <w:left w:w="120" w:type="dxa"/>
              <w:right w:w="120" w:type="dxa"/>
            </w:tcMar>
            <w:shd w:fill="FFFFFF"/>
          </w:tcPr>
          <w:p>
            <w:r>
              <w:rPr>
                <w:b/>
                <w:color w:val="1E293B"/>
                <w:sz w:val="17"/>
              </w:rPr>
              <w:t>Earnings Calendar &amp; Blackout Alerts</w:t>
            </w:r>
          </w:p>
        </w:tc>
        <w:tc>
          <w:tcPr>
            <w:tcW w:type="dxa" w:w="3360"/>
            <w:tcMar>
              <w:top w:w="100" w:type="dxa"/>
              <w:bottom w:w="100" w:type="dxa"/>
              <w:left w:w="120" w:type="dxa"/>
              <w:right w:w="120" w:type="dxa"/>
            </w:tcMar>
            <w:shd w:fill="FFFFFF"/>
          </w:tcPr>
          <w:p>
            <w:r>
              <w:rPr>
                <w:color w:val="334155"/>
                <w:sz w:val="17"/>
              </w:rPr>
              <w:t>Monitors upcoming earnings report dates for all held assets, enforcing a 48-hour pre-earnings trading blackout guardrail against binary gap risk.</w:t>
            </w:r>
          </w:p>
        </w:tc>
      </w:tr>
      <w:tr>
        <w:tc>
          <w:tcPr>
            <w:tcW w:type="dxa" w:w="3360"/>
            <w:tcMar>
              <w:top w:w="100" w:type="dxa"/>
              <w:bottom w:w="100" w:type="dxa"/>
              <w:left w:w="120" w:type="dxa"/>
              <w:right w:w="120" w:type="dxa"/>
            </w:tcMar>
            <w:shd w:fill="F8FAFC"/>
          </w:tcPr>
          <w:p>
            <w:pPr>
              <w:jc w:val="center"/>
            </w:pPr>
            <w:r>
              <w:rPr>
                <w:b/>
                <w:color w:val="2563EB"/>
                <w:sz w:val="17"/>
              </w:rPr>
              <w:t>6</w:t>
            </w:r>
          </w:p>
        </w:tc>
        <w:tc>
          <w:tcPr>
            <w:tcW w:type="dxa" w:w="3360"/>
            <w:tcMar>
              <w:top w:w="100" w:type="dxa"/>
              <w:bottom w:w="100" w:type="dxa"/>
              <w:left w:w="120" w:type="dxa"/>
              <w:right w:w="120" w:type="dxa"/>
            </w:tcMar>
            <w:shd w:fill="F8FAFC"/>
          </w:tcPr>
          <w:p>
            <w:r>
              <w:rPr>
                <w:b/>
                <w:color w:val="1E293B"/>
                <w:sz w:val="17"/>
              </w:rPr>
              <w:t>Options Scanner &amp; Yield Harvest</w:t>
            </w:r>
          </w:p>
        </w:tc>
        <w:tc>
          <w:tcPr>
            <w:tcW w:type="dxa" w:w="3360"/>
            <w:tcMar>
              <w:top w:w="100" w:type="dxa"/>
              <w:bottom w:w="100" w:type="dxa"/>
              <w:left w:w="120" w:type="dxa"/>
              <w:right w:w="120" w:type="dxa"/>
            </w:tcMar>
            <w:shd w:fill="F8FAFC"/>
          </w:tcPr>
          <w:p>
            <w:r>
              <w:rPr>
                <w:color w:val="334155"/>
                <w:sz w:val="17"/>
              </w:rPr>
              <w:t>Systematic covered calls scanner for yield generation and cash-secured puts scanner for discounted accumulation with delta-neutral strikes.</w:t>
            </w:r>
          </w:p>
        </w:tc>
      </w:tr>
      <w:tr>
        <w:tc>
          <w:tcPr>
            <w:tcW w:type="dxa" w:w="3360"/>
            <w:tcMar>
              <w:top w:w="100" w:type="dxa"/>
              <w:bottom w:w="100" w:type="dxa"/>
              <w:left w:w="120" w:type="dxa"/>
              <w:right w:w="120" w:type="dxa"/>
            </w:tcMar>
            <w:shd w:fill="FFFFFF"/>
          </w:tcPr>
          <w:p>
            <w:pPr>
              <w:jc w:val="center"/>
            </w:pPr>
            <w:r>
              <w:rPr>
                <w:b/>
                <w:color w:val="2563EB"/>
                <w:sz w:val="17"/>
              </w:rPr>
              <w:t>7</w:t>
            </w:r>
          </w:p>
        </w:tc>
        <w:tc>
          <w:tcPr>
            <w:tcW w:type="dxa" w:w="3360"/>
            <w:tcMar>
              <w:top w:w="100" w:type="dxa"/>
              <w:bottom w:w="100" w:type="dxa"/>
              <w:left w:w="120" w:type="dxa"/>
              <w:right w:w="120" w:type="dxa"/>
            </w:tcMar>
            <w:shd w:fill="FFFFFF"/>
          </w:tcPr>
          <w:p>
            <w:r>
              <w:rPr>
                <w:b/>
                <w:color w:val="1E293B"/>
                <w:sz w:val="17"/>
              </w:rPr>
              <w:t>Webhook Alerts Receiver &amp; Log</w:t>
            </w:r>
          </w:p>
        </w:tc>
        <w:tc>
          <w:tcPr>
            <w:tcW w:type="dxa" w:w="3360"/>
            <w:tcMar>
              <w:top w:w="100" w:type="dxa"/>
              <w:bottom w:w="100" w:type="dxa"/>
              <w:left w:w="120" w:type="dxa"/>
              <w:right w:w="120" w:type="dxa"/>
            </w:tcMar>
            <w:shd w:fill="FFFFFF"/>
          </w:tcPr>
          <w:p>
            <w:r>
              <w:rPr>
                <w:color w:val="334155"/>
                <w:sz w:val="17"/>
              </w:rPr>
              <w:t>Live stream of incoming TradingView webhook execution alerts with payload validation, latency timestamps, and broker order state.</w:t>
            </w:r>
          </w:p>
        </w:tc>
      </w:tr>
      <w:tr>
        <w:tc>
          <w:tcPr>
            <w:tcW w:type="dxa" w:w="3360"/>
            <w:tcMar>
              <w:top w:w="100" w:type="dxa"/>
              <w:bottom w:w="100" w:type="dxa"/>
              <w:left w:w="120" w:type="dxa"/>
              <w:right w:w="120" w:type="dxa"/>
            </w:tcMar>
            <w:shd w:fill="F8FAFC"/>
          </w:tcPr>
          <w:p>
            <w:pPr>
              <w:jc w:val="center"/>
            </w:pPr>
            <w:r>
              <w:rPr>
                <w:b/>
                <w:color w:val="2563EB"/>
                <w:sz w:val="17"/>
              </w:rPr>
              <w:t>8</w:t>
            </w:r>
          </w:p>
        </w:tc>
        <w:tc>
          <w:tcPr>
            <w:tcW w:type="dxa" w:w="3360"/>
            <w:tcMar>
              <w:top w:w="100" w:type="dxa"/>
              <w:bottom w:w="100" w:type="dxa"/>
              <w:left w:w="120" w:type="dxa"/>
              <w:right w:w="120" w:type="dxa"/>
            </w:tcMar>
            <w:shd w:fill="F8FAFC"/>
          </w:tcPr>
          <w:p>
            <w:r>
              <w:rPr>
                <w:b/>
                <w:color w:val="1E293B"/>
                <w:sz w:val="17"/>
              </w:rPr>
              <w:t>Capital Rotation &amp; Position Swaps (swap)</w:t>
            </w:r>
          </w:p>
        </w:tc>
        <w:tc>
          <w:tcPr>
            <w:tcW w:type="dxa" w:w="3360"/>
            <w:tcMar>
              <w:top w:w="100" w:type="dxa"/>
              <w:bottom w:w="100" w:type="dxa"/>
              <w:left w:w="120" w:type="dxa"/>
              <w:right w:w="120" w:type="dxa"/>
            </w:tcMar>
            <w:shd w:fill="F8FAFC"/>
          </w:tcPr>
          <w:p>
            <w:r>
              <w:rPr>
                <w:color w:val="334155"/>
                <w:sz w:val="17"/>
              </w:rPr>
              <w:t>Tri-modal benefit tier table (TOP ≥ 5%, MID 2%-5%, LOW &lt; 2%) evaluating broken laggards against high-momentum breakout leaders with net cash debt paydown.</w:t>
            </w:r>
          </w:p>
        </w:tc>
      </w:tr>
      <w:tr>
        <w:tc>
          <w:tcPr>
            <w:tcW w:type="dxa" w:w="3360"/>
            <w:tcMar>
              <w:top w:w="100" w:type="dxa"/>
              <w:bottom w:w="100" w:type="dxa"/>
              <w:left w:w="120" w:type="dxa"/>
              <w:right w:w="120" w:type="dxa"/>
            </w:tcMar>
            <w:shd w:fill="FFFFFF"/>
          </w:tcPr>
          <w:p>
            <w:pPr>
              <w:jc w:val="center"/>
            </w:pPr>
            <w:r>
              <w:rPr>
                <w:b/>
                <w:color w:val="2563EB"/>
                <w:sz w:val="17"/>
              </w:rPr>
              <w:t>9</w:t>
            </w:r>
          </w:p>
        </w:tc>
        <w:tc>
          <w:tcPr>
            <w:tcW w:type="dxa" w:w="3360"/>
            <w:tcMar>
              <w:top w:w="100" w:type="dxa"/>
              <w:bottom w:w="100" w:type="dxa"/>
              <w:left w:w="120" w:type="dxa"/>
              <w:right w:w="120" w:type="dxa"/>
            </w:tcMar>
            <w:shd w:fill="FFFFFF"/>
          </w:tcPr>
          <w:p>
            <w:r>
              <w:rPr>
                <w:b/>
                <w:color w:val="1E293B"/>
                <w:sz w:val="17"/>
              </w:rPr>
              <w:t>Delta Macro Hedging Desk</w:t>
            </w:r>
          </w:p>
        </w:tc>
        <w:tc>
          <w:tcPr>
            <w:tcW w:type="dxa" w:w="3360"/>
            <w:tcMar>
              <w:top w:w="100" w:type="dxa"/>
              <w:bottom w:w="100" w:type="dxa"/>
              <w:left w:w="120" w:type="dxa"/>
              <w:right w:w="120" w:type="dxa"/>
            </w:tcMar>
            <w:shd w:fill="FFFFFF"/>
          </w:tcPr>
          <w:p>
            <w:r>
              <w:rPr>
                <w:color w:val="334155"/>
                <w:sz w:val="17"/>
              </w:rPr>
              <w:t>Dynamic VIX ceiling hedging framework (1.00x - 1.40x) sizing inverse ETF allocations (SQQQ, SOXS, YANG) and running Priority 0 SQQQ emergency swap preflights.</w:t>
            </w:r>
          </w:p>
        </w:tc>
      </w:tr>
      <w:tr>
        <w:tc>
          <w:tcPr>
            <w:tcW w:type="dxa" w:w="3360"/>
            <w:tcMar>
              <w:top w:w="100" w:type="dxa"/>
              <w:bottom w:w="100" w:type="dxa"/>
              <w:left w:w="120" w:type="dxa"/>
              <w:right w:w="120" w:type="dxa"/>
            </w:tcMar>
            <w:shd w:fill="F8FAFC"/>
          </w:tcPr>
          <w:p>
            <w:pPr>
              <w:jc w:val="center"/>
            </w:pPr>
            <w:r>
              <w:rPr>
                <w:b/>
                <w:color w:val="2563EB"/>
                <w:sz w:val="17"/>
              </w:rPr>
              <w:t>0</w:t>
            </w:r>
          </w:p>
        </w:tc>
        <w:tc>
          <w:tcPr>
            <w:tcW w:type="dxa" w:w="3360"/>
            <w:tcMar>
              <w:top w:w="100" w:type="dxa"/>
              <w:bottom w:w="100" w:type="dxa"/>
              <w:left w:w="120" w:type="dxa"/>
              <w:right w:w="120" w:type="dxa"/>
            </w:tcMar>
            <w:shd w:fill="F8FAFC"/>
          </w:tcPr>
          <w:p>
            <w:r>
              <w:rPr>
                <w:b/>
                <w:color w:val="1E293B"/>
                <w:sz w:val="17"/>
              </w:rPr>
              <w:t>Algorithmic Momentum Screener</w:t>
            </w:r>
          </w:p>
        </w:tc>
        <w:tc>
          <w:tcPr>
            <w:tcW w:type="dxa" w:w="3360"/>
            <w:tcMar>
              <w:top w:w="100" w:type="dxa"/>
              <w:bottom w:w="100" w:type="dxa"/>
              <w:left w:w="120" w:type="dxa"/>
              <w:right w:w="120" w:type="dxa"/>
            </w:tcMar>
            <w:shd w:fill="F8FAFC"/>
          </w:tcPr>
          <w:p>
            <w:r>
              <w:rPr>
                <w:color w:val="334155"/>
                <w:sz w:val="17"/>
              </w:rPr>
              <w:t>Scans intraday surge stocks (≥ 10% daily gainers) with strict institutional liquidity filters dropping sub-dollar penny stocks, illiquid floats, and wide spreads.</w:t>
            </w:r>
          </w:p>
        </w:tc>
      </w:tr>
      <w:tr>
        <w:tc>
          <w:tcPr>
            <w:tcW w:type="dxa" w:w="3360"/>
            <w:tcMar>
              <w:top w:w="100" w:type="dxa"/>
              <w:bottom w:w="100" w:type="dxa"/>
              <w:left w:w="120" w:type="dxa"/>
              <w:right w:w="120" w:type="dxa"/>
            </w:tcMar>
            <w:shd w:fill="FFFFFF"/>
          </w:tcPr>
          <w:p>
            <w:pPr>
              <w:jc w:val="center"/>
            </w:pPr>
            <w:r>
              <w:rPr>
                <w:b/>
                <w:color w:val="2563EB"/>
                <w:sz w:val="17"/>
              </w:rPr>
              <w:t>—</w:t>
            </w:r>
          </w:p>
        </w:tc>
        <w:tc>
          <w:tcPr>
            <w:tcW w:type="dxa" w:w="3360"/>
            <w:tcMar>
              <w:top w:w="100" w:type="dxa"/>
              <w:bottom w:w="100" w:type="dxa"/>
              <w:left w:w="120" w:type="dxa"/>
              <w:right w:w="120" w:type="dxa"/>
            </w:tcMar>
            <w:shd w:fill="FFFFFF"/>
          </w:tcPr>
          <w:p>
            <w:r>
              <w:rPr>
                <w:b/>
                <w:color w:val="1E293B"/>
                <w:sz w:val="17"/>
              </w:rPr>
              <w:t>Live Orders &amp; Execution Blotter</w:t>
            </w:r>
          </w:p>
        </w:tc>
        <w:tc>
          <w:tcPr>
            <w:tcW w:type="dxa" w:w="3360"/>
            <w:tcMar>
              <w:top w:w="100" w:type="dxa"/>
              <w:bottom w:w="100" w:type="dxa"/>
              <w:left w:w="120" w:type="dxa"/>
              <w:right w:w="120" w:type="dxa"/>
            </w:tcMar>
            <w:shd w:fill="FFFFFF"/>
          </w:tcPr>
          <w:p>
            <w:r>
              <w:rPr>
                <w:color w:val="334155"/>
                <w:sz w:val="17"/>
              </w:rPr>
              <w:t>Real-time order audit trail tracking fill timestamps, execution prices, slippage, and 1-click order cancellation.</w:t>
            </w:r>
          </w:p>
        </w:tc>
      </w:tr>
      <w:tr>
        <w:tc>
          <w:tcPr>
            <w:tcW w:type="dxa" w:w="3360"/>
            <w:tcMar>
              <w:top w:w="100" w:type="dxa"/>
              <w:bottom w:w="100" w:type="dxa"/>
              <w:left w:w="120" w:type="dxa"/>
              <w:right w:w="120" w:type="dxa"/>
            </w:tcMar>
            <w:shd w:fill="F8FAFC"/>
          </w:tcPr>
          <w:p>
            <w:pPr>
              <w:jc w:val="center"/>
            </w:pPr>
            <w:r>
              <w:rPr>
                <w:b/>
                <w:color w:val="2563EB"/>
                <w:sz w:val="17"/>
              </w:rPr>
              <w:t>—</w:t>
            </w:r>
          </w:p>
        </w:tc>
        <w:tc>
          <w:tcPr>
            <w:tcW w:type="dxa" w:w="3360"/>
            <w:tcMar>
              <w:top w:w="100" w:type="dxa"/>
              <w:bottom w:w="100" w:type="dxa"/>
              <w:left w:w="120" w:type="dxa"/>
              <w:right w:w="120" w:type="dxa"/>
            </w:tcMar>
            <w:shd w:fill="F8FAFC"/>
          </w:tcPr>
          <w:p>
            <w:r>
              <w:rPr>
                <w:b/>
                <w:color w:val="1E293B"/>
                <w:sz w:val="17"/>
              </w:rPr>
              <w:t>Multi-Broker Subscription Desk</w:t>
            </w:r>
          </w:p>
        </w:tc>
        <w:tc>
          <w:tcPr>
            <w:tcW w:type="dxa" w:w="3360"/>
            <w:tcMar>
              <w:top w:w="100" w:type="dxa"/>
              <w:bottom w:w="100" w:type="dxa"/>
              <w:left w:w="120" w:type="dxa"/>
              <w:right w:w="120" w:type="dxa"/>
            </w:tcMar>
            <w:shd w:fill="F8FAFC"/>
          </w:tcPr>
          <w:p>
            <w:r>
              <w:rPr>
                <w:color w:val="334155"/>
                <w:sz w:val="17"/>
              </w:rPr>
              <w:t>Tier management (Basic, Pro, VIP), multi-broker API credential integration (Alpaca, Interactive Brokers, Schwab, Binance), and paper vs. live mode toggles.</w:t>
            </w:r>
          </w:p>
        </w:tc>
      </w:tr>
      <w:tr>
        <w:tc>
          <w:tcPr>
            <w:tcW w:type="dxa" w:w="3360"/>
            <w:tcMar>
              <w:top w:w="100" w:type="dxa"/>
              <w:bottom w:w="100" w:type="dxa"/>
              <w:left w:w="120" w:type="dxa"/>
              <w:right w:w="120" w:type="dxa"/>
            </w:tcMar>
            <w:shd w:fill="FFFFFF"/>
          </w:tcPr>
          <w:p>
            <w:pPr>
              <w:jc w:val="center"/>
            </w:pPr>
            <w:r>
              <w:rPr>
                <w:b/>
                <w:color w:val="2563EB"/>
                <w:sz w:val="17"/>
              </w:rPr>
              <w:t>Shift + D</w:t>
            </w:r>
          </w:p>
        </w:tc>
        <w:tc>
          <w:tcPr>
            <w:tcW w:type="dxa" w:w="3360"/>
            <w:tcMar>
              <w:top w:w="100" w:type="dxa"/>
              <w:bottom w:w="100" w:type="dxa"/>
              <w:left w:w="120" w:type="dxa"/>
              <w:right w:w="120" w:type="dxa"/>
            </w:tcMar>
            <w:shd w:fill="FFFFFF"/>
          </w:tcPr>
          <w:p>
            <w:r>
              <w:rPr>
                <w:b/>
                <w:color w:val="1E293B"/>
                <w:sz w:val="17"/>
              </w:rPr>
              <w:t>Institutional Docs &amp; Self-Help Desk</w:t>
            </w:r>
          </w:p>
        </w:tc>
        <w:tc>
          <w:tcPr>
            <w:tcW w:type="dxa" w:w="3360"/>
            <w:tcMar>
              <w:top w:w="100" w:type="dxa"/>
              <w:bottom w:w="100" w:type="dxa"/>
              <w:left w:w="120" w:type="dxa"/>
              <w:right w:w="120" w:type="dxa"/>
            </w:tcMar>
            <w:shd w:fill="FFFFFF"/>
          </w:tcPr>
          <w:p>
            <w:r>
              <w:rPr>
                <w:color w:val="334155"/>
                <w:sz w:val="17"/>
              </w:rPr>
              <w:t>1-click download bar for 5 official operational manuals (.docx / .xlsx) and interactive in-browser strategy guides.</w:t>
            </w:r>
          </w:p>
        </w:tc>
      </w:tr>
    </w:tbl>
    <w:p/>
    <w:p>
      <w:pPr>
        <w:pStyle w:val="Heading1"/>
      </w:pPr>
      <w:r>
        <w:t>2. Deep-Dive Operational Guide for Key Desks</w:t>
      </w:r>
    </w:p>
    <w:p>
      <w:pPr>
        <w:pStyle w:val="Heading2"/>
      </w:pPr>
      <w:r>
        <w:t>2.1 Capital Rotation &amp; Position Swap Engine (swap)</w:t>
      </w:r>
    </w:p>
    <w:p>
      <w:r>
        <w:t>The Swap Engine is designed to solve the common trader trap of holding decaying laggards while missing fresh market leadership. Instead of deploying new debt or cash, it executes synchronized paired rotations:</w:t>
        <w:br/>
        <w:t>• Laggard Identification: Scans portfolio positions demonstrating negative momentum, technical breakdown, or moving average loss.</w:t>
        <w:br/>
        <w:t>• Leader Discovery: Ranks candidate tickers passing strict liquidity and momentum criteria from the screener and alert queues.</w:t>
        <w:br/>
        <w:t>• Tri-Modal Benefit Tiers: Classifies recommendations into TOP (≥ 5% alpha spread), MID (2%–5%), and LOW (&lt; 2%).</w:t>
        <w:br/>
        <w:t>• Net Debt Paydown: Enforces positive cash retention (typically 10%–20%) so each swap reduces margin loan debt.</w:t>
        <w:br/>
        <w:t>• Pre-Flight Modal: Before any order is transmitted, ATW opens a defensive confirmation window displaying the exact sell proceeds, buy cost, post-swap cash stance, and safety buttons (Skip, Proceed, Always Accept).</w:t>
      </w:r>
    </w:p>
    <w:p>
      <w:pPr>
        <w:pStyle w:val="Heading2"/>
      </w:pPr>
      <w:r>
        <w:t>2.2 Delta Macro Hedging &amp; SQQQ Dynamic Ceilings</w:t>
      </w:r>
    </w:p>
    <w:p>
      <w:r>
        <w:t>The Auto-Hedging Desk protects equity capital during sudden market pullbacks without requiring liquidating long core positions:</w:t>
        <w:br/>
        <w:t>• Dynamic Macro VIX Ceilings: Calibrates gross portfolio leverage based on market volatility (VIX &lt; 18: 1.40x; VIX 18–25: 1.25x; VIX 25–35: 1.10x; VIX &gt; 35: 1.00x cash limit).</w:t>
        <w:br/>
        <w:t>• Inverse ETF Allocation: Sizes SQQQ (3x Inverse QQQ) to target portfolio net delta neutral posture.</w:t>
        <w:br/>
        <w:t>• 30-Minute Clamp Guardrail: Clamps SQQQ buys when the 30-minute MA10 is above EMA25, preventing whipsaw losses in rangebound choppy regimes.</w:t>
        <w:br/>
        <w:t>• Priority 0 SQQQ Swaps: Under high-stress market regimes, the system gates speculative equity buys and forces swaps strictly into SQQQ.</w:t>
      </w:r>
    </w:p>
    <w:p>
      <w:pPr>
        <w:pStyle w:val="Heading2"/>
      </w:pPr>
      <w:r>
        <w:t>2.3 Systematic Options Scanning &amp; Yield Harvesting</w:t>
      </w:r>
    </w:p>
    <w:p>
      <w:r>
        <w:t>ATW features automated covered call and cash-secured put discovery engines:</w:t>
        <w:br/>
        <w:t>• Covered Calls: Evaluates long stock positions with ≥ 100 shares. Suggests out-of-the-money call strikes (0.20–0.30 Delta) expiring in 14–45 days to harvest annualized option premium without premature stock forfeiture.</w:t>
        <w:br/>
        <w:t>• Cash-Secured Puts: Identifies high-conviction watch-list leaders trading at technical support. Calculates cash margin requirements and generates strike proposals that provide instant income or disciplined entry discounts.</w:t>
        <w:br/>
        <w:t>• Blackout Enforcement: Cross-checks proposed option contracts against the Earnings Calendar to ensure no short options bridge binary earnings announcements.</w:t>
      </w:r>
    </w:p>
    <w:p>
      <w:pPr>
        <w:pStyle w:val="Heading2"/>
      </w:pPr>
      <w:r>
        <w:t>2.4 Macro News Scanner &amp; Earnings Blackout Guardrails</w:t>
      </w:r>
    </w:p>
    <w:p>
      <w:r>
        <w:t>• Instant In-Memory Memoization: News queries are cached in RAM with a 90-second TTL and 2.0-second fail-fast timeout, delivering sub-second response times on desktop and mobile.</w:t>
        <w:br/>
        <w:t>• Impact Categorization: News headlines are tagged into Critical Macro (Central Bank, Inflation, Energy), Corporate Catalysts (M&amp;A, Contracts, FDA), and Crypto/Liquidity.</w:t>
        <w:br/>
        <w:t>• Financial Implications: Every news card features an AI-generated concise summary explaining how the catalyst directly impacts sector equity valuation.</w:t>
        <w:br/>
        <w:t>• 48-Hour Earnings Blackouts: Prevents algorithmic entries into stocks scheduled to report quarterly results within 48 hours.</w:t>
      </w:r>
    </w:p>
    <w:p>
      <w:pPr>
        <w:pStyle w:val="Heading1"/>
      </w:pPr>
      <w:r>
        <w:t>3. In-App Copilot Commands &amp; 1-Click Strategy Chips</w:t>
      </w:r>
    </w:p>
    <w:p>
      <w:r>
        <w:t>Inside the ATW cockpit, traders can click 1-touch strategy chips or type commands into the Copilot bar to instantly calculate rebalances and risk audits:</w:t>
      </w:r>
    </w:p>
    <w:tbl>
      <w:tblPr>
        <w:tblW w:type="auto" w:w="0"/>
        <w:jc w:val="center"/>
        <w:tblLayout w:type="fixed"/>
        <w:tblLook w:firstColumn="1" w:firstRow="1" w:lastColumn="0" w:lastRow="0" w:noHBand="0" w:noVBand="1" w:val="04A0"/>
      </w:tblPr>
      <w:tblGrid>
        <w:gridCol w:w="2160"/>
        <w:gridCol w:w="2592"/>
        <w:gridCol w:w="5328"/>
      </w:tblGrid>
      <w:tr>
        <w:tc>
          <w:tcPr>
            <w:tcW w:type="dxa" w:w="3360"/>
            <w:tcMar>
              <w:top w:w="100" w:type="dxa"/>
              <w:bottom w:w="100" w:type="dxa"/>
              <w:left w:w="120" w:type="dxa"/>
              <w:right w:w="120" w:type="dxa"/>
            </w:tcMar>
            <w:shd w:fill="1E3A8A"/>
          </w:tcPr>
          <w:p>
            <w:r>
              <w:rPr>
                <w:b/>
                <w:color w:val="FFFFFF"/>
                <w:sz w:val="18"/>
              </w:rPr>
              <w:t>Copilot Chip / Command</w:t>
            </w:r>
          </w:p>
        </w:tc>
        <w:tc>
          <w:tcPr>
            <w:tcW w:type="dxa" w:w="3360"/>
            <w:tcMar>
              <w:top w:w="100" w:type="dxa"/>
              <w:bottom w:w="100" w:type="dxa"/>
              <w:left w:w="120" w:type="dxa"/>
              <w:right w:w="120" w:type="dxa"/>
            </w:tcMar>
            <w:shd w:fill="1E3A8A"/>
          </w:tcPr>
          <w:p>
            <w:r>
              <w:rPr>
                <w:b/>
                <w:color w:val="FFFFFF"/>
                <w:sz w:val="18"/>
              </w:rPr>
              <w:t>Strategy / Analysis</w:t>
            </w:r>
          </w:p>
        </w:tc>
        <w:tc>
          <w:tcPr>
            <w:tcW w:type="dxa" w:w="3360"/>
            <w:tcMar>
              <w:top w:w="100" w:type="dxa"/>
              <w:bottom w:w="100" w:type="dxa"/>
              <w:left w:w="120" w:type="dxa"/>
              <w:right w:w="120" w:type="dxa"/>
            </w:tcMar>
            <w:shd w:fill="1E3A8A"/>
          </w:tcPr>
          <w:p>
            <w:r>
              <w:rPr>
                <w:b/>
                <w:color w:val="FFFFFF"/>
                <w:sz w:val="18"/>
              </w:rPr>
              <w:t>What It Does for the Trader</w:t>
            </w:r>
          </w:p>
        </w:tc>
      </w:tr>
      <w:tr>
        <w:tc>
          <w:tcPr>
            <w:tcW w:type="dxa" w:w="3360"/>
            <w:tcMar>
              <w:top w:w="100" w:type="dxa"/>
              <w:bottom w:w="100" w:type="dxa"/>
              <w:left w:w="120" w:type="dxa"/>
              <w:right w:w="120" w:type="dxa"/>
            </w:tcMar>
            <w:shd w:fill="FFFFFF"/>
          </w:tcPr>
          <w:p>
            <w:pPr>
              <w:jc w:val="center"/>
            </w:pPr>
            <w:r>
              <w:rPr>
                <w:b/>
                <w:color w:val="059669"/>
                <w:sz w:val="17"/>
              </w:rPr>
              <w:t>SWAP</w:t>
            </w:r>
          </w:p>
        </w:tc>
        <w:tc>
          <w:tcPr>
            <w:tcW w:type="dxa" w:w="3360"/>
            <w:tcMar>
              <w:top w:w="100" w:type="dxa"/>
              <w:bottom w:w="100" w:type="dxa"/>
              <w:left w:w="120" w:type="dxa"/>
              <w:right w:w="120" w:type="dxa"/>
            </w:tcMar>
            <w:shd w:fill="FFFFFF"/>
          </w:tcPr>
          <w:p>
            <w:r>
              <w:rPr>
                <w:b/>
                <w:color w:val="0F172A"/>
                <w:sz w:val="17"/>
              </w:rPr>
              <w:t>Capital Rotation Preflight</w:t>
            </w:r>
          </w:p>
        </w:tc>
        <w:tc>
          <w:tcPr>
            <w:tcW w:type="dxa" w:w="3360"/>
            <w:tcMar>
              <w:top w:w="100" w:type="dxa"/>
              <w:bottom w:w="100" w:type="dxa"/>
              <w:left w:w="120" w:type="dxa"/>
              <w:right w:w="120" w:type="dxa"/>
            </w:tcMar>
            <w:shd w:fill="FFFFFF"/>
          </w:tcPr>
          <w:p>
            <w:r>
              <w:rPr>
                <w:color w:val="334155"/>
                <w:sz w:val="17"/>
              </w:rPr>
              <w:t>Scans the user's active portfolio for laggards, matches top breakout leaders, calculates debt paydown, and opens the pre-flight order modal.</w:t>
            </w:r>
          </w:p>
        </w:tc>
      </w:tr>
      <w:tr>
        <w:tc>
          <w:tcPr>
            <w:tcW w:type="dxa" w:w="3360"/>
            <w:tcMar>
              <w:top w:w="100" w:type="dxa"/>
              <w:bottom w:w="100" w:type="dxa"/>
              <w:left w:w="120" w:type="dxa"/>
              <w:right w:w="120" w:type="dxa"/>
            </w:tcMar>
            <w:shd w:fill="F8FAFC"/>
          </w:tcPr>
          <w:p>
            <w:pPr>
              <w:jc w:val="center"/>
            </w:pPr>
            <w:r>
              <w:rPr>
                <w:b/>
                <w:color w:val="059669"/>
                <w:sz w:val="17"/>
              </w:rPr>
              <w:t>AUDIT</w:t>
            </w:r>
          </w:p>
        </w:tc>
        <w:tc>
          <w:tcPr>
            <w:tcW w:type="dxa" w:w="3360"/>
            <w:tcMar>
              <w:top w:w="100" w:type="dxa"/>
              <w:bottom w:w="100" w:type="dxa"/>
              <w:left w:w="120" w:type="dxa"/>
              <w:right w:w="120" w:type="dxa"/>
            </w:tcMar>
            <w:shd w:fill="F8FAFC"/>
          </w:tcPr>
          <w:p>
            <w:r>
              <w:rPr>
                <w:b/>
                <w:color w:val="0F172A"/>
                <w:sz w:val="17"/>
              </w:rPr>
              <w:t>Portfolio Health Audit</w:t>
            </w:r>
          </w:p>
        </w:tc>
        <w:tc>
          <w:tcPr>
            <w:tcW w:type="dxa" w:w="3360"/>
            <w:tcMar>
              <w:top w:w="100" w:type="dxa"/>
              <w:bottom w:w="100" w:type="dxa"/>
              <w:left w:w="120" w:type="dxa"/>
              <w:right w:w="120" w:type="dxa"/>
            </w:tcMar>
            <w:shd w:fill="F8FAFC"/>
          </w:tcPr>
          <w:p>
            <w:r>
              <w:rPr>
                <w:color w:val="334155"/>
                <w:sz w:val="17"/>
              </w:rPr>
              <w:t>Evaluates current portfolio health score (0-100 / Grade A-F), diversification entropy, sector concentration, and beta exposure.</w:t>
            </w:r>
          </w:p>
        </w:tc>
      </w:tr>
      <w:tr>
        <w:tc>
          <w:tcPr>
            <w:tcW w:type="dxa" w:w="3360"/>
            <w:tcMar>
              <w:top w:w="100" w:type="dxa"/>
              <w:bottom w:w="100" w:type="dxa"/>
              <w:left w:w="120" w:type="dxa"/>
              <w:right w:w="120" w:type="dxa"/>
            </w:tcMar>
            <w:shd w:fill="FFFFFF"/>
          </w:tcPr>
          <w:p>
            <w:pPr>
              <w:jc w:val="center"/>
            </w:pPr>
            <w:r>
              <w:rPr>
                <w:b/>
                <w:color w:val="059669"/>
                <w:sz w:val="17"/>
              </w:rPr>
              <w:t>HEDGE</w:t>
            </w:r>
          </w:p>
        </w:tc>
        <w:tc>
          <w:tcPr>
            <w:tcW w:type="dxa" w:w="3360"/>
            <w:tcMar>
              <w:top w:w="100" w:type="dxa"/>
              <w:bottom w:w="100" w:type="dxa"/>
              <w:left w:w="120" w:type="dxa"/>
              <w:right w:w="120" w:type="dxa"/>
            </w:tcMar>
            <w:shd w:fill="FFFFFF"/>
          </w:tcPr>
          <w:p>
            <w:r>
              <w:rPr>
                <w:b/>
                <w:color w:val="0F172A"/>
                <w:sz w:val="17"/>
              </w:rPr>
              <w:t>Delta-Neutral Protection</w:t>
            </w:r>
          </w:p>
        </w:tc>
        <w:tc>
          <w:tcPr>
            <w:tcW w:type="dxa" w:w="3360"/>
            <w:tcMar>
              <w:top w:w="100" w:type="dxa"/>
              <w:bottom w:w="100" w:type="dxa"/>
              <w:left w:w="120" w:type="dxa"/>
              <w:right w:w="120" w:type="dxa"/>
            </w:tcMar>
            <w:shd w:fill="FFFFFF"/>
          </w:tcPr>
          <w:p>
            <w:r>
              <w:rPr>
                <w:color w:val="334155"/>
                <w:sz w:val="17"/>
              </w:rPr>
              <w:t>Calculates the exact number of SQQQ or SOXS shares required to achieve delta-neutral market protection under the current VIX regime.</w:t>
            </w:r>
          </w:p>
        </w:tc>
      </w:tr>
      <w:tr>
        <w:tc>
          <w:tcPr>
            <w:tcW w:type="dxa" w:w="3360"/>
            <w:tcMar>
              <w:top w:w="100" w:type="dxa"/>
              <w:bottom w:w="100" w:type="dxa"/>
              <w:left w:w="120" w:type="dxa"/>
              <w:right w:w="120" w:type="dxa"/>
            </w:tcMar>
            <w:shd w:fill="F8FAFC"/>
          </w:tcPr>
          <w:p>
            <w:pPr>
              <w:jc w:val="center"/>
            </w:pPr>
            <w:r>
              <w:rPr>
                <w:b/>
                <w:color w:val="059669"/>
                <w:sz w:val="17"/>
              </w:rPr>
              <w:t>CTA</w:t>
            </w:r>
          </w:p>
        </w:tc>
        <w:tc>
          <w:tcPr>
            <w:tcW w:type="dxa" w:w="3360"/>
            <w:tcMar>
              <w:top w:w="100" w:type="dxa"/>
              <w:bottom w:w="100" w:type="dxa"/>
              <w:left w:w="120" w:type="dxa"/>
              <w:right w:w="120" w:type="dxa"/>
            </w:tcMar>
            <w:shd w:fill="F8FAFC"/>
          </w:tcPr>
          <w:p>
            <w:r>
              <w:rPr>
                <w:b/>
                <w:color w:val="0F172A"/>
                <w:sz w:val="17"/>
              </w:rPr>
              <w:t>Trend Following Rebalance</w:t>
            </w:r>
          </w:p>
        </w:tc>
        <w:tc>
          <w:tcPr>
            <w:tcW w:type="dxa" w:w="3360"/>
            <w:tcMar>
              <w:top w:w="100" w:type="dxa"/>
              <w:bottom w:w="100" w:type="dxa"/>
              <w:left w:w="120" w:type="dxa"/>
              <w:right w:w="120" w:type="dxa"/>
            </w:tcMar>
            <w:shd w:fill="F8FAFC"/>
          </w:tcPr>
          <w:p>
            <w:r>
              <w:rPr>
                <w:color w:val="334155"/>
                <w:sz w:val="17"/>
              </w:rPr>
              <w:t>Rebalances portfolio assets according to Managed Futures Trend Following rules (10-month / 200-day moving average breakout).</w:t>
            </w:r>
          </w:p>
        </w:tc>
      </w:tr>
      <w:tr>
        <w:tc>
          <w:tcPr>
            <w:tcW w:type="dxa" w:w="3360"/>
            <w:tcMar>
              <w:top w:w="100" w:type="dxa"/>
              <w:bottom w:w="100" w:type="dxa"/>
              <w:left w:w="120" w:type="dxa"/>
              <w:right w:w="120" w:type="dxa"/>
            </w:tcMar>
            <w:shd w:fill="FFFFFF"/>
          </w:tcPr>
          <w:p>
            <w:pPr>
              <w:jc w:val="center"/>
            </w:pPr>
            <w:r>
              <w:rPr>
                <w:b/>
                <w:color w:val="059669"/>
                <w:sz w:val="17"/>
              </w:rPr>
              <w:t>CSM</w:t>
            </w:r>
          </w:p>
        </w:tc>
        <w:tc>
          <w:tcPr>
            <w:tcW w:type="dxa" w:w="3360"/>
            <w:tcMar>
              <w:top w:w="100" w:type="dxa"/>
              <w:bottom w:w="100" w:type="dxa"/>
              <w:left w:w="120" w:type="dxa"/>
              <w:right w:w="120" w:type="dxa"/>
            </w:tcMar>
            <w:shd w:fill="FFFFFF"/>
          </w:tcPr>
          <w:p>
            <w:r>
              <w:rPr>
                <w:b/>
                <w:color w:val="0F172A"/>
                <w:sz w:val="17"/>
              </w:rPr>
              <w:t>Cross-Sectional Momentum</w:t>
            </w:r>
          </w:p>
        </w:tc>
        <w:tc>
          <w:tcPr>
            <w:tcW w:type="dxa" w:w="3360"/>
            <w:tcMar>
              <w:top w:w="100" w:type="dxa"/>
              <w:bottom w:w="100" w:type="dxa"/>
              <w:left w:w="120" w:type="dxa"/>
              <w:right w:w="120" w:type="dxa"/>
            </w:tcMar>
            <w:shd w:fill="FFFFFF"/>
          </w:tcPr>
          <w:p>
            <w:r>
              <w:rPr>
                <w:color w:val="334155"/>
                <w:sz w:val="17"/>
              </w:rPr>
              <w:t>Ranks liquid universe by 12-1 month relative strength and allocates capital to the top momentum decile.</w:t>
            </w:r>
          </w:p>
        </w:tc>
      </w:tr>
      <w:tr>
        <w:tc>
          <w:tcPr>
            <w:tcW w:type="dxa" w:w="3360"/>
            <w:tcMar>
              <w:top w:w="100" w:type="dxa"/>
              <w:bottom w:w="100" w:type="dxa"/>
              <w:left w:w="120" w:type="dxa"/>
              <w:right w:w="120" w:type="dxa"/>
            </w:tcMar>
            <w:shd w:fill="F8FAFC"/>
          </w:tcPr>
          <w:p>
            <w:pPr>
              <w:jc w:val="center"/>
            </w:pPr>
            <w:r>
              <w:rPr>
                <w:b/>
                <w:color w:val="059669"/>
                <w:sz w:val="17"/>
              </w:rPr>
              <w:t>GTAA</w:t>
            </w:r>
          </w:p>
        </w:tc>
        <w:tc>
          <w:tcPr>
            <w:tcW w:type="dxa" w:w="3360"/>
            <w:tcMar>
              <w:top w:w="100" w:type="dxa"/>
              <w:bottom w:w="100" w:type="dxa"/>
              <w:left w:w="120" w:type="dxa"/>
              <w:right w:w="120" w:type="dxa"/>
            </w:tcMar>
            <w:shd w:fill="F8FAFC"/>
          </w:tcPr>
          <w:p>
            <w:r>
              <w:rPr>
                <w:b/>
                <w:color w:val="0F172A"/>
                <w:sz w:val="17"/>
              </w:rPr>
              <w:t>Global Tactical Asset Allocation</w:t>
            </w:r>
          </w:p>
        </w:tc>
        <w:tc>
          <w:tcPr>
            <w:tcW w:type="dxa" w:w="3360"/>
            <w:tcMar>
              <w:top w:w="100" w:type="dxa"/>
              <w:bottom w:w="100" w:type="dxa"/>
              <w:left w:w="120" w:type="dxa"/>
              <w:right w:w="120" w:type="dxa"/>
            </w:tcMar>
            <w:shd w:fill="F8FAFC"/>
          </w:tcPr>
          <w:p>
            <w:r>
              <w:rPr>
                <w:color w:val="334155"/>
                <w:sz w:val="17"/>
              </w:rPr>
              <w:t>Dual-momentum rotation allocating across US Equities, Foreign Developed, Emerging Markets, Real Estate, and Commodities.</w:t>
            </w:r>
          </w:p>
        </w:tc>
      </w:tr>
      <w:tr>
        <w:tc>
          <w:tcPr>
            <w:tcW w:type="dxa" w:w="3360"/>
            <w:tcMar>
              <w:top w:w="100" w:type="dxa"/>
              <w:bottom w:w="100" w:type="dxa"/>
              <w:left w:w="120" w:type="dxa"/>
              <w:right w:w="120" w:type="dxa"/>
            </w:tcMar>
            <w:shd w:fill="FFFFFF"/>
          </w:tcPr>
          <w:p>
            <w:pPr>
              <w:jc w:val="center"/>
            </w:pPr>
            <w:r>
              <w:rPr>
                <w:b/>
                <w:color w:val="059669"/>
                <w:sz w:val="17"/>
              </w:rPr>
              <w:t>QVE</w:t>
            </w:r>
          </w:p>
        </w:tc>
        <w:tc>
          <w:tcPr>
            <w:tcW w:type="dxa" w:w="3360"/>
            <w:tcMar>
              <w:top w:w="100" w:type="dxa"/>
              <w:bottom w:w="100" w:type="dxa"/>
              <w:left w:w="120" w:type="dxa"/>
              <w:right w:w="120" w:type="dxa"/>
            </w:tcMar>
            <w:shd w:fill="FFFFFF"/>
          </w:tcPr>
          <w:p>
            <w:r>
              <w:rPr>
                <w:b/>
                <w:color w:val="0F172A"/>
                <w:sz w:val="17"/>
              </w:rPr>
              <w:t>Quality + Value Defensive Beta</w:t>
            </w:r>
          </w:p>
        </w:tc>
        <w:tc>
          <w:tcPr>
            <w:tcW w:type="dxa" w:w="3360"/>
            <w:tcMar>
              <w:top w:w="100" w:type="dxa"/>
              <w:bottom w:w="100" w:type="dxa"/>
              <w:left w:w="120" w:type="dxa"/>
              <w:right w:w="120" w:type="dxa"/>
            </w:tcMar>
            <w:shd w:fill="FFFFFF"/>
          </w:tcPr>
          <w:p>
            <w:r>
              <w:rPr>
                <w:color w:val="334155"/>
                <w:sz w:val="17"/>
              </w:rPr>
              <w:t>Combines high return on equity (ROE) and low debt with value multiples to construct a defensive, lower-volatility portfolio.</w:t>
            </w:r>
          </w:p>
        </w:tc>
      </w:tr>
      <w:tr>
        <w:tc>
          <w:tcPr>
            <w:tcW w:type="dxa" w:w="3360"/>
            <w:tcMar>
              <w:top w:w="100" w:type="dxa"/>
              <w:bottom w:w="100" w:type="dxa"/>
              <w:left w:w="120" w:type="dxa"/>
              <w:right w:w="120" w:type="dxa"/>
            </w:tcMar>
            <w:shd w:fill="F8FAFC"/>
          </w:tcPr>
          <w:p>
            <w:pPr>
              <w:jc w:val="center"/>
            </w:pPr>
            <w:r>
              <w:rPr>
                <w:b/>
                <w:color w:val="059669"/>
                <w:sz w:val="17"/>
              </w:rPr>
              <w:t>VRP</w:t>
            </w:r>
          </w:p>
        </w:tc>
        <w:tc>
          <w:tcPr>
            <w:tcW w:type="dxa" w:w="3360"/>
            <w:tcMar>
              <w:top w:w="100" w:type="dxa"/>
              <w:bottom w:w="100" w:type="dxa"/>
              <w:left w:w="120" w:type="dxa"/>
              <w:right w:w="120" w:type="dxa"/>
            </w:tcMar>
            <w:shd w:fill="F8FAFC"/>
          </w:tcPr>
          <w:p>
            <w:r>
              <w:rPr>
                <w:b/>
                <w:color w:val="0F172A"/>
                <w:sz w:val="17"/>
              </w:rPr>
              <w:t>Volatility Risk Premium Harvest</w:t>
            </w:r>
          </w:p>
        </w:tc>
        <w:tc>
          <w:tcPr>
            <w:tcW w:type="dxa" w:w="3360"/>
            <w:tcMar>
              <w:top w:w="100" w:type="dxa"/>
              <w:bottom w:w="100" w:type="dxa"/>
              <w:left w:w="120" w:type="dxa"/>
              <w:right w:w="120" w:type="dxa"/>
            </w:tcMar>
            <w:shd w:fill="F8FAFC"/>
          </w:tcPr>
          <w:p>
            <w:r>
              <w:rPr>
                <w:color w:val="334155"/>
                <w:sz w:val="17"/>
              </w:rPr>
              <w:t>Option contango volatility harvest rules utilizing delta-neutral covered strangles and index put spreads.</w:t>
            </w:r>
          </w:p>
        </w:tc>
      </w:tr>
      <w:tr>
        <w:tc>
          <w:tcPr>
            <w:tcW w:type="dxa" w:w="3360"/>
            <w:tcMar>
              <w:top w:w="100" w:type="dxa"/>
              <w:bottom w:w="100" w:type="dxa"/>
              <w:left w:w="120" w:type="dxa"/>
              <w:right w:w="120" w:type="dxa"/>
            </w:tcMar>
            <w:shd w:fill="FFFFFF"/>
          </w:tcPr>
          <w:p>
            <w:pPr>
              <w:jc w:val="center"/>
            </w:pPr>
            <w:r>
              <w:rPr>
                <w:b/>
                <w:color w:val="059669"/>
                <w:sz w:val="17"/>
              </w:rPr>
              <w:t>SARB</w:t>
            </w:r>
          </w:p>
        </w:tc>
        <w:tc>
          <w:tcPr>
            <w:tcW w:type="dxa" w:w="3360"/>
            <w:tcMar>
              <w:top w:w="100" w:type="dxa"/>
              <w:bottom w:w="100" w:type="dxa"/>
              <w:left w:w="120" w:type="dxa"/>
              <w:right w:w="120" w:type="dxa"/>
            </w:tcMar>
            <w:shd w:fill="FFFFFF"/>
          </w:tcPr>
          <w:p>
            <w:r>
              <w:rPr>
                <w:b/>
                <w:color w:val="0F172A"/>
                <w:sz w:val="17"/>
              </w:rPr>
              <w:t>Statistical Arbitrage Pairs</w:t>
            </w:r>
          </w:p>
        </w:tc>
        <w:tc>
          <w:tcPr>
            <w:tcW w:type="dxa" w:w="3360"/>
            <w:tcMar>
              <w:top w:w="100" w:type="dxa"/>
              <w:bottom w:w="100" w:type="dxa"/>
              <w:left w:w="120" w:type="dxa"/>
              <w:right w:w="120" w:type="dxa"/>
            </w:tcMar>
            <w:shd w:fill="FFFFFF"/>
          </w:tcPr>
          <w:p>
            <w:r>
              <w:rPr>
                <w:color w:val="334155"/>
                <w:sz w:val="17"/>
              </w:rPr>
              <w:t>Residual mean-reversion pairs trading across cointegrated ETF and equity baskets.</w:t>
            </w:r>
          </w:p>
        </w:tc>
      </w:tr>
    </w:tbl>
    <w:p/>
    <w:p>
      <w:pPr>
        <w:pStyle w:val="Heading1"/>
      </w:pPr>
      <w:r>
        <w:t>4. Institutional Risk Guardrails &amp; Cockpit Ergonomics</w:t>
      </w:r>
    </w:p>
    <w:p>
      <w:r>
        <w:t>Every tool in ATW is bound by 5 mandatory institutional risk guardrails:</w:t>
        <w:br/>
        <w:t>1. Zero-Horizontal-Scrolling Mandate: All 13 trading desks wrap responsively, ensuring 100% visibility on standard desktop displays (≥ 1280px).</w:t>
        <w:br/>
        <w:t>2. Pre-Flight Defensive Confirmation: No capital or order is transmitted without an explicit confirmation modal presenting full order parameters, post-swap cash balances, and explicit Cancel/Proceed controls.</w:t>
        <w:br/>
        <w:t>3. Dual-Channel Liveness Heartbeats: The network liveness badge signals data freshness (&lt;1s, &lt;15s, &lt;60s, &gt;1m), preventing execution against stale market quotes.</w:t>
        <w:br/>
        <w:t>4. Friday Margin De-Leveraging: On Fridays ≥ 15:00 EDT, new speculative buys are gated and rotations switch to 100% de-leveraging to eliminate 3-day weekend loan carry interest.</w:t>
        <w:br/>
        <w:t>5. Two-Factor Authentication (2FA/TOTP): Mandatory MFA enrollment for administrators and 1-click self-service TOTP pairing for traders.</w:t>
      </w:r>
    </w:p>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Segoe UI" w:hAnsi="Segoe UI"/>
        <w:color w:val="6B7280"/>
        <w:sz w:val="17"/>
      </w:rPr>
      <w:t xml:space="preserve">Page </w:t>
    </w:r>
    <w:r>
      <w:fldSimple w:instr="PAGE"/>
    </w:r>
    <w:r>
      <w:rPr>
        <w:rFonts w:ascii="Segoe UI" w:hAnsi="Segoe UI"/>
        <w:color w:val="6B7280"/>
        <w:sz w:val="17"/>
      </w:rPr>
      <w:t xml:space="preserve"> of </w:t>
    </w:r>
    <w:r>
      <w:fldSimple w:instr="NUMPAGES"/>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jc w:val="center"/>
      <w:tblLook w:firstColumn="1" w:firstRow="1" w:lastColumn="0" w:lastRow="0" w:noHBand="0" w:noVBand="1" w:val="04A0"/>
      <w:tblBorders>
        <w:top w:val="none"/>
        <w:left w:val="none"/>
        <w:bottom w:val="single" w:sz="6" w:space="0" w:color="E5E7EB"/>
        <w:right w:val="none"/>
        <w:insideH w:val="none"/>
        <w:insideV w:val="none"/>
      </w:tblBorders>
    </w:tblPr>
    <w:tblGrid>
      <w:gridCol w:w="3360"/>
      <w:gridCol w:w="3360"/>
      <w:gridCol w:w="3360"/>
    </w:tblGrid>
    <w:tr>
      <w:tc>
        <w:tcPr>
          <w:tcW w:type="dxa" w:w="3360"/>
        </w:tcPr>
        <w:p>
          <w:pPr>
            <w:jc w:val="left"/>
          </w:pPr>
          <w:r>
            <w:rPr>
              <w:rFonts w:ascii="Segoe UI" w:hAnsi="Segoe UI"/>
              <w:color w:val="6B7280"/>
              <w:sz w:val="17"/>
            </w:rPr>
            <w:t>Created: 15/09/2026</w:t>
          </w:r>
        </w:p>
      </w:tc>
      <w:tc>
        <w:tcPr>
          <w:tcW w:type="dxa" w:w="3360"/>
        </w:tcPr>
        <w:p>
          <w:pPr>
            <w:jc w:val="center"/>
          </w:pPr>
          <w:r>
            <w:rPr>
              <w:position w:val="-7"/>
            </w:rPr>
            <w:drawing>
              <wp:inline xmlns:a="http://schemas.openxmlformats.org/drawingml/2006/main" xmlns:pic="http://schemas.openxmlformats.org/drawingml/2006/picture">
                <wp:extent cx="219456" cy="201168"/>
                <wp:docPr id="1" name="Picture 1"/>
                <wp:cNvGraphicFramePr>
                  <a:graphicFrameLocks noChangeAspect="1"/>
                </wp:cNvGraphicFramePr>
                <a:graphic>
                  <a:graphicData uri="http://schemas.openxmlformats.org/drawingml/2006/picture">
                    <pic:pic>
                      <pic:nvPicPr>
                        <pic:cNvPr id="0" name="phoenix_icon_header_dark.png"/>
                        <pic:cNvPicPr/>
                      </pic:nvPicPr>
                      <pic:blipFill>
                        <a:blip r:embed="rId2"/>
                        <a:stretch>
                          <a:fillRect/>
                        </a:stretch>
                      </pic:blipFill>
                      <pic:spPr>
                        <a:xfrm>
                          <a:off x="0" y="0"/>
                          <a:ext cx="219456" cy="201168"/>
                        </a:xfrm>
                        <a:prstGeom prst="rect"/>
                      </pic:spPr>
                    </pic:pic>
                  </a:graphicData>
                </a:graphic>
              </wp:inline>
            </w:drawing>
          </w:r>
          <w:r>
            <w:t xml:space="preserve"> </w:t>
          </w:r>
          <w:r>
            <w:rPr>
              <w:rFonts w:ascii="Segoe UI Semibold" w:hAnsi="Segoe UI Semibold"/>
              <w:b/>
              <w:color w:val="1E3A8A"/>
              <w:sz w:val="20"/>
            </w:rPr>
            <w:t>PhoenixAlgos™</w:t>
          </w:r>
        </w:p>
      </w:tc>
      <w:tc>
        <w:tcPr>
          <w:tcW w:type="dxa" w:w="3360"/>
        </w:tcPr>
        <w:p>
          <w:pPr>
            <w:jc w:val="right"/>
          </w:pPr>
          <w:r>
            <w:rPr>
              <w:rFonts w:ascii="Segoe UI" w:hAnsi="Segoe UI"/>
              <w:color w:val="6B7280"/>
              <w:sz w:val="17"/>
            </w:rPr>
            <w:t>Updated: 23/09/2026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33415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F172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