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Arial" w:hAnsi="Arial"/>
          <w:b/>
          <w:color w:val="182B49"/>
          <w:sz w:val="26"/>
        </w:rPr>
        <w:t>⭐ ONE-PAGE EXECUTIVE SUMMARY: AAA RANKED TRADING STRATEGIES</w:t>
      </w:r>
    </w:p>
    <w:p>
      <w:pPr>
        <w:spacing w:after="40"/>
        <w:jc w:val="center"/>
      </w:pPr>
      <w:r>
        <w:rPr>
          <w:rFonts w:ascii="Arial" w:hAnsi="Arial"/>
          <w:i/>
          <w:color w:val="46505F"/>
          <w:sz w:val="18"/>
        </w:rPr>
        <w:t>Consensus of 7 Frontier AI Models: OpenAI, Anthropic, Google, DeepSeek, Perplexity, Kimi &amp; xAI</w:t>
      </w:r>
    </w:p>
    <w:p>
      <w:pPr>
        <w:spacing w:after="100"/>
        <w:jc w:val="center"/>
      </w:pPr>
      <w:r>
        <w:rPr>
          <w:rFonts w:ascii="Arial" w:hAnsi="Arial"/>
          <w:b/>
          <w:color w:val="46505F"/>
          <w:sz w:val="17"/>
        </w:rPr>
        <w:t>Author: Eugene Wang  |  Cues: CTA • CSM • GTAA • QVE • VRP • SARB  |  September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2232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Rank &amp; Strategy Name (Cue)</w:t>
            </w:r>
          </w:p>
        </w:tc>
        <w:tc>
          <w:tcPr>
            <w:tcW w:type="dxa" w:w="2592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Core Quantitative Edge</w:t>
            </w:r>
          </w:p>
        </w:tc>
        <w:tc>
          <w:tcPr>
            <w:tcW w:type="dxa" w:w="1224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Net Sharpe</w:t>
            </w:r>
          </w:p>
        </w:tc>
        <w:tc>
          <w:tcPr>
            <w:tcW w:type="dxa" w:w="1368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Win Rate / Skew</w:t>
            </w:r>
          </w:p>
        </w:tc>
        <w:tc>
          <w:tcPr>
            <w:tcW w:type="dxa" w:w="1584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Crisis Alpha / Max DD</w:t>
            </w:r>
          </w:p>
        </w:tc>
        <w:tc>
          <w:tcPr>
            <w:tcW w:type="dxa" w:w="1800"/>
            <w:shd w:fill="182B49"/>
            <w:tcMar>
              <w:top w:w="55" w:type="dxa"/>
              <w:bottom w:w="5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Institutional Role</w:t>
            </w:r>
          </w:p>
        </w:tc>
      </w:tr>
      <w:tr>
        <w:tc>
          <w:tcPr>
            <w:tcW w:type="dxa" w:w="223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#1 Trend Following (CTA)</w:t>
            </w:r>
          </w:p>
        </w:tc>
        <w:tc>
          <w:tcPr>
            <w:tcW w:type="dxa" w:w="259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Underreaction &amp; forced hedger flows across 40-60 liquid futures</w:t>
            </w:r>
          </w:p>
        </w:tc>
        <w:tc>
          <w:tcPr>
            <w:tcW w:type="dxa" w:w="122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0.7 – 1.0 (Gross 1.4-1.8)</w:t>
            </w:r>
          </w:p>
        </w:tc>
        <w:tc>
          <w:tcPr>
            <w:tcW w:type="dxa" w:w="1368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38–45% (High +)</w:t>
            </w:r>
          </w:p>
        </w:tc>
        <w:tc>
          <w:tcPr>
            <w:tcW w:type="dxa" w:w="158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Exceptional (+20% in '08, '22); Max DD 15-25%</w:t>
            </w:r>
          </w:p>
        </w:tc>
        <w:tc>
          <w:tcPr>
            <w:tcW w:type="dxa" w:w="1800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Core Foundation (40% risk budget)</w:t>
            </w:r>
          </w:p>
        </w:tc>
      </w:tr>
      <w:tr>
        <w:tc>
          <w:tcPr>
            <w:tcW w:type="dxa" w:w="223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#2 Cross-Sectional Momentum (CSM)</w:t>
            </w:r>
          </w:p>
        </w:tc>
        <w:tc>
          <w:tcPr>
            <w:tcW w:type="dxa" w:w="259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12-1 month persistence, analyst anchoring &amp; window dressing (skip last 1m)</w:t>
            </w:r>
          </w:p>
        </w:tc>
        <w:tc>
          <w:tcPr>
            <w:tcW w:type="dxa" w:w="122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0.6 – 0.9 (+3-5% alpha)</w:t>
            </w:r>
          </w:p>
        </w:tc>
        <w:tc>
          <w:tcPr>
            <w:tcW w:type="dxa" w:w="1368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55–60% (Moderate)</w:t>
            </w:r>
          </w:p>
        </w:tc>
        <w:tc>
          <w:tcPr>
            <w:tcW w:type="dxa" w:w="158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Vulnerable without Crash Filter; Max DD 20-25%</w:t>
            </w:r>
          </w:p>
        </w:tc>
        <w:tc>
          <w:tcPr>
            <w:tcW w:type="dxa" w:w="1800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Primary Alpha Sleeve (20% risk budget)</w:t>
            </w:r>
          </w:p>
        </w:tc>
      </w:tr>
      <w:tr>
        <w:tc>
          <w:tcPr>
            <w:tcW w:type="dxa" w:w="223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#3 Global Tactical Asset Allocation (GTAA)</w:t>
            </w:r>
          </w:p>
        </w:tc>
        <w:tc>
          <w:tcPr>
            <w:tcW w:type="dxa" w:w="259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200-day SMA absolute filter + 3m/6m/12m relative ETF rotation (SPY, QQQ, VEU, GLD)</w:t>
            </w:r>
          </w:p>
        </w:tc>
        <w:tc>
          <w:tcPr>
            <w:tcW w:type="dxa" w:w="122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0.7 – 0.9 (Pre-tax)</w:t>
            </w:r>
          </w:p>
        </w:tc>
        <w:tc>
          <w:tcPr>
            <w:tcW w:type="dxa" w:w="1368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58–65% (Balanced)</w:t>
            </w:r>
          </w:p>
        </w:tc>
        <w:tc>
          <w:tcPr>
            <w:tcW w:type="dxa" w:w="158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High downside sidestep (avoided '00, '08); Max DD 15-20%</w:t>
            </w:r>
          </w:p>
        </w:tc>
        <w:tc>
          <w:tcPr>
            <w:tcW w:type="dxa" w:w="1800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Low-Turnover Core (2-6 trades/yr)</w:t>
            </w:r>
          </w:p>
        </w:tc>
      </w:tr>
      <w:tr>
        <w:tc>
          <w:tcPr>
            <w:tcW w:type="dxa" w:w="223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#4 Quality + Value Equity (QVE)</w:t>
            </w:r>
          </w:p>
        </w:tc>
        <w:tc>
          <w:tcPr>
            <w:tcW w:type="dxa" w:w="259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Structural durability (ROIC, low accruals, low beta) with valuation discipline</w:t>
            </w:r>
          </w:p>
        </w:tc>
        <w:tc>
          <w:tcPr>
            <w:tcW w:type="dxa" w:w="122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0.5 – 0.8 (Defensive beta)</w:t>
            </w:r>
          </w:p>
        </w:tc>
        <w:tc>
          <w:tcPr>
            <w:tcW w:type="dxa" w:w="1368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Continuous</w:t>
            </w:r>
          </w:p>
        </w:tc>
        <w:tc>
          <w:tcPr>
            <w:tcW w:type="dxa" w:w="158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Better in stagflation/bear cycles; Max DD 25-35%</w:t>
            </w:r>
          </w:p>
        </w:tc>
        <w:tc>
          <w:tcPr>
            <w:tcW w:type="dxa" w:w="1800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Fundamental Anchor (30% risk budget)</w:t>
            </w:r>
          </w:p>
        </w:tc>
      </w:tr>
      <w:tr>
        <w:tc>
          <w:tcPr>
            <w:tcW w:type="dxa" w:w="223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#5 Volatility Risk Premium (VRP)</w:t>
            </w:r>
          </w:p>
        </w:tc>
        <w:tc>
          <w:tcPr>
            <w:tcW w:type="dxa" w:w="2592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Implied vs Realized Vol spread; collects overpriced put insurance (contango only)</w:t>
            </w:r>
          </w:p>
        </w:tc>
        <w:tc>
          <w:tcPr>
            <w:tcW w:type="dxa" w:w="122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0.8 – 1.2 (Calm regimes)</w:t>
            </w:r>
          </w:p>
        </w:tc>
        <w:tc>
          <w:tcPr>
            <w:tcW w:type="dxa" w:w="1368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80–90% (Negative -)</w:t>
            </w:r>
          </w:p>
        </w:tc>
        <w:tc>
          <w:tcPr>
            <w:tcW w:type="dxa" w:w="1584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Catastrophic left-tail if naked; Max DD 20-30% with tail puts</w:t>
            </w:r>
          </w:p>
        </w:tc>
        <w:tc>
          <w:tcPr>
            <w:tcW w:type="dxa" w:w="1800"/>
            <w:shd w:fill="F5F7FA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Small Carry Sleeve (max 5-10% budget)</w:t>
            </w:r>
          </w:p>
        </w:tc>
      </w:tr>
      <w:tr>
        <w:tc>
          <w:tcPr>
            <w:tcW w:type="dxa" w:w="223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#6 Statistical Arbitrage (SARB)</w:t>
            </w:r>
          </w:p>
        </w:tc>
        <w:tc>
          <w:tcPr>
            <w:tcW w:type="dxa" w:w="2592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Temporary 3-5 day factor-residual pricing noise (|z| &gt; 2 entry, |z| &lt; 0.5 exit)</w:t>
            </w:r>
          </w:p>
        </w:tc>
        <w:tc>
          <w:tcPr>
            <w:tcW w:type="dxa" w:w="122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0.4 – 0.8 Net (Gross 1.5-2.5)</w:t>
            </w:r>
          </w:p>
        </w:tc>
        <w:tc>
          <w:tcPr>
            <w:tcW w:type="dxa" w:w="1368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55–65% (Tight)</w:t>
            </w:r>
          </w:p>
        </w:tc>
        <w:tc>
          <w:tcPr>
            <w:tcW w:type="dxa" w:w="1584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Episodic drawdowns in crowded unwinds; Max DD 10-20%</w:t>
            </w:r>
          </w:p>
        </w:tc>
        <w:tc>
          <w:tcPr>
            <w:tcW w:type="dxa" w:w="1800"/>
            <w:shd w:fill="FFFFFF"/>
            <w:tcMar>
              <w:top w:w="45" w:type="dxa"/>
              <w:bottom w:w="45" w:type="dxa"/>
              <w:left w:w="65" w:type="dxa"/>
              <w:right w:w="65" w:type="dxa"/>
            </w:tcMar>
          </w:tcPr>
          <w:p>
            <w:pPr>
              <w:jc w:val="left"/>
            </w:pPr>
            <w:r>
              <w:rPr>
                <w:rFonts w:ascii="Arial" w:hAnsi="Arial"/>
                <w:color w:val="232323"/>
                <w:sz w:val="15"/>
              </w:rPr>
              <w:t>HFT/Quant desks only (avoid in retail)</w:t>
            </w:r>
          </w:p>
        </w:tc>
      </w:tr>
    </w:tbl>
    <w:p>
      <w:pPr>
        <w:spacing w:line="252" w:lineRule="auto" w:before="100" w:after="60"/>
      </w:pPr>
      <w:r>
        <w:rPr>
          <w:rFonts w:ascii="Arial" w:hAnsi="Arial"/>
          <w:b/>
          <w:color w:val="182B49"/>
          <w:sz w:val="19"/>
        </w:rPr>
        <w:t>🏆 THE INSTITUTIONAL 'HOLY GRAIL' PORTFOLIO (40 / 30 / 20 / 10 RISK PARITY)</w:t>
        <w:br/>
      </w:r>
      <w:r>
        <w:rPr>
          <w:rFonts w:ascii="Arial" w:hAnsi="Arial"/>
          <w:color w:val="232323"/>
          <w:sz w:val="15"/>
        </w:rPr>
        <w:t>Combining uncorrelated return drivers via Risk Parity elevates portfolio Sharpe to 1.1–1.4 with max drawdowns &lt; 18%:</w:t>
        <w:br/>
        <w:t>• 40% Risk Budget → Trend Following (CTA): Convex crisis alpha; surges during market crashes (2008: +20%, 2022: +25%).</w:t>
        <w:br/>
        <w:t>• 30% Risk Budget → Quality + Value Equity (QVE): Low-beta balance-sheet durability (high ROIC, low accruals, EBIT/EV).</w:t>
        <w:br/>
        <w:t>• 20% Risk Budget → Cross-Sectional Momentum (CSM): Aggressive bull-run outperformance using 12-1 relative strength.</w:t>
        <w:br/>
        <w:t>• 10% Risk Budget → Statistical Arbitrage (SARB) / Tactical Cash: Volatility shock buffer and opportunistic pullback deployment.</w:t>
      </w:r>
    </w:p>
    <w:p>
      <w:pPr>
        <w:spacing w:line="252" w:lineRule="auto" w:before="80" w:after="20"/>
      </w:pPr>
      <w:r>
        <w:rPr>
          <w:rFonts w:ascii="Arial" w:hAnsi="Arial"/>
          <w:b/>
          <w:color w:val="182B49"/>
          <w:sz w:val="19"/>
        </w:rPr>
        <w:t>🛡️ FIVE NON-NEGOTIABLE RISK GUARDRAILS</w:t>
        <w:br/>
      </w:r>
      <w:r>
        <w:rPr>
          <w:rFonts w:ascii="Arial" w:hAnsi="Arial"/>
          <w:color w:val="232323"/>
          <w:sz w:val="15"/>
        </w:rPr>
        <w:t>1. Leveraged ETF Decay: 3X ETFs (SOXL, TQQQ, YANG) suffer compounding decay proportional to (-0.5 × L² × σ² × dt). Never buy-and-hold; trade only with 30-min SMA trend gates.</w:t>
        <w:br/>
        <w:t>2. The 1-Month Skip Rule - Cross-Sectional Momentum (CSM): Evaluate momentum on R[12-1] = (P[t-21] - P[t-252]) / P[t-252]. Skipping days t-21 to t eliminates short-term liquidity reversal noise.</w:t>
        <w:br/>
        <w:t>3. Momentum Holding Buffer: Buy only above 90th percentile (Top Decile); retain existing names until falling below 70th percentile (slashes turnover by 60%).</w:t>
        <w:br/>
        <w:t>4. Daniel &amp; Moskowitz Crash Filter: Halve gross equity exposure when benchmark SPY &lt; 200-day SMA and trailing market volatility spikes.</w:t>
        <w:br/>
        <w:t>5. Inverse ETF Priority Rule: Inverse hedge ETFs (SQQQ, SOXS, YANG, LABD) are strictly the LAST to sell during de-leveraging.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Segoe UI" w:hAnsi="Segoe UI"/>
        <w:color w:val="6B7280"/>
        <w:sz w:val="17"/>
      </w:rPr>
      <w:t xml:space="preserve">Page </w:t>
    </w:r>
    <w:r>
      <w:fldSimple w:instr="PAGE"/>
    </w:r>
    <w:r>
      <w:rPr>
        <w:rFonts w:ascii="Segoe UI" w:hAnsi="Segoe UI"/>
        <w:color w:val="6B7280"/>
        <w:sz w:val="17"/>
      </w:rPr>
      <w:t xml:space="preserve"> of </w:t>
    </w:r>
    <w:r>
      <w:fldSimple w:instr="NUMPAGES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none"/>
        <w:left w:val="none"/>
        <w:bottom w:val="single" w:sz="6" w:space="0" w:color="E5E7EB"/>
        <w:right w:val="none"/>
        <w:insideH w:val="none"/>
        <w:insideV w:val="none"/>
      </w:tblBorders>
    </w:tblPr>
    <w:tblGrid>
      <w:gridCol w:w="3360"/>
      <w:gridCol w:w="3360"/>
      <w:gridCol w:w="3360"/>
    </w:tblGrid>
    <w:tr>
      <w:tc>
        <w:tcPr>
          <w:tcW w:type="dxa" w:w="3360"/>
        </w:tcPr>
        <w:p>
          <w:pPr>
            <w:jc w:val="left"/>
          </w:pPr>
          <w:r>
            <w:rPr>
              <w:rFonts w:ascii="Segoe UI" w:hAnsi="Segoe UI"/>
              <w:color w:val="6B7280"/>
              <w:sz w:val="17"/>
            </w:rPr>
            <w:t>Created: 15/09/2026</w:t>
          </w:r>
        </w:p>
      </w:tc>
      <w:tc>
        <w:tcPr>
          <w:tcW w:type="dxa" w:w="3360"/>
        </w:tcPr>
        <w:p>
          <w:pPr>
            <w:jc w:val="center"/>
          </w:pPr>
          <w:r>
            <w:rPr>
              <w:position w:val="-7"/>
            </w:rPr>
            <w:drawing>
              <wp:inline xmlns:a="http://schemas.openxmlformats.org/drawingml/2006/main" xmlns:pic="http://schemas.openxmlformats.org/drawingml/2006/picture">
                <wp:extent cx="219456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hoenix_icon_header_dark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rFonts w:ascii="Segoe UI Semibold" w:hAnsi="Segoe UI Semibold"/>
              <w:b/>
              <w:color w:val="1E3A8A"/>
              <w:sz w:val="20"/>
            </w:rPr>
            <w:t>PhoenixAlgos™</w:t>
          </w:r>
        </w:p>
      </w:tc>
      <w:tc>
        <w:tcPr>
          <w:tcW w:type="dxa" w:w="3360"/>
        </w:tcPr>
        <w:p>
          <w:pPr>
            <w:jc w:val="right"/>
          </w:pPr>
          <w:r>
            <w:rPr>
              <w:rFonts w:ascii="Segoe UI" w:hAnsi="Segoe UI"/>
              <w:color w:val="6B7280"/>
              <w:sz w:val="17"/>
            </w:rPr>
            <w:t>Updated: 23/09/2026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