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0F172A"/>
          <w:sz w:val="40"/>
        </w:rPr>
        <w:t>PHOENIXALGOS AUTO TRADING WEB (ATW)</w:t>
        <w:br/>
        <w:t>NEW USER ONBOARDING &amp; SELF-HELP MANUAL</w:t>
      </w:r>
    </w:p>
    <w:p>
      <w:pPr>
        <w:jc w:val="center"/>
      </w:pPr>
      <w:r>
        <w:rPr>
          <w:rFonts w:ascii="Arial" w:hAnsi="Arial"/>
          <w:i/>
          <w:color w:val="64748B"/>
          <w:sz w:val="21"/>
        </w:rPr>
        <w:t>Official User Guide • Paper Trading Simulation • Default Auto-Hedging • Risk Guardrails</w:t>
        <w:br/>
        <w:t>Version 1.1 • Updated September 2026</w:t>
      </w:r>
    </w:p>
    <w:p>
      <w:pPr>
        <w:spacing w:after="160"/>
      </w:pPr>
    </w:p>
    <w:p>
      <w:pPr>
        <w:pStyle w:val="Heading1"/>
      </w:pPr>
      <w:r>
        <w:rPr>
          <w:rFonts w:ascii="Arial" w:hAnsi="Arial"/>
          <w:b/>
          <w:color w:val="1E3A8A"/>
        </w:rPr>
        <w:t>1. System Overview &amp; Core Purpose</w:t>
      </w:r>
    </w:p>
    <w:p>
      <w:pPr>
        <w:spacing w:line="276" w:lineRule="auto"/>
      </w:pPr>
      <w:r>
        <w:t>Welcome to PhoenixAlgos Auto Trading Web (ATW), an institutional-grade algorithmic portfolio orchestration platform. The system is built to provide seamless, disciplined trading automation while enforcing strict risk controls and capital preservation. As a new user, your account is immediately configured with safe defaults to ensure you can explore, monitor, and master the system without risking capital.</w:t>
      </w:r>
    </w:p>
    <w:p>
      <w:pPr>
        <w:pStyle w:val="Heading1"/>
      </w:pPr>
      <w:r>
        <w:rPr>
          <w:rFonts w:ascii="Arial" w:hAnsi="Arial"/>
          <w:b/>
          <w:color w:val="1E3A8A"/>
        </w:rPr>
        <w:t>2. Account Access &amp; Credentials Policy</w:t>
      </w:r>
    </w:p>
    <w:p>
      <w:pPr>
        <w:spacing w:line="276" w:lineRule="auto"/>
      </w:pPr>
      <w:r>
        <w:t>PhoenixAlgos supports two convenient methods for account authentication:</w:t>
        <w:br/>
        <w:t>• Google Single Sign-On (SSO): 1-click passwordless sign-in with your authorized Google Account.</w:t>
        <w:br/>
        <w:t>• Standard Email &amp; Password: Secure Bcrypt-hashed authentication with auto-fill pill buttons on the login portal.</w:t>
        <w:br/>
        <w:br/>
        <w:t>Default Short Random Password Policy:</w:t>
        <w:br/>
        <w:t>To ensure effortless accessibility while maintaining security, all new member accounts are provisioned with an 8-character, unambiguous lowercase alphanumeric password (e.g., m7wp2k9t). Passwords can be regenerated at any time using the '🎲 New Random' button on the login screen.</w:t>
      </w:r>
    </w:p>
    <w:p>
      <w:pPr>
        <w:pStyle w:val="Heading1"/>
      </w:pPr>
      <w:r>
        <w:rPr>
          <w:rFonts w:ascii="Arial" w:hAnsi="Arial"/>
          <w:b/>
          <w:color w:val="1E3A8A"/>
        </w:rPr>
        <w:t>3. Default Portfolio: Paper Trading ($100,000)</w:t>
      </w:r>
    </w:p>
    <w:p>
      <w:pPr>
        <w:spacing w:line="276" w:lineRule="auto"/>
      </w:pPr>
      <w:r>
        <w:t>Every newly registered or standard trader account defaults directly to Paper Trading ($100k). This isolated sandbox environment gives you $100,000.00 in virtual trading equity and connects directly to the live 23-ticker alert universe:</w:t>
        <w:br/>
        <w:t>• Macro ETFs: SPY, QQQ, SOXL, SQQQ, IWM, GLD, TLT</w:t>
        <w:br/>
        <w:t>• Growth &amp; Tech Leaders: NVDA, AAPL, MSFT, PLTR, TSLA, AMZN, GOOGL, AMD</w:t>
        <w:br/>
        <w:t>• High-Momentum Growth: SUNE, DJT, NET, FLNA, PLSE, VIAV, ROIV, SMR</w:t>
        <w:br/>
        <w:br/>
        <w:t>All alerts, simulated fills, position tracking, and P&amp;L metrics operate with real market prices while safeguarding your financial security.</w:t>
      </w:r>
    </w:p>
    <w:p>
      <w:pPr>
        <w:pStyle w:val="Heading1"/>
      </w:pPr>
      <w:r>
        <w:rPr>
          <w:rFonts w:ascii="Arial" w:hAnsi="Arial"/>
          <w:b/>
          <w:color w:val="1E3A8A"/>
        </w:rPr>
        <w:t>4. Universal Default Auto-Hedging</w:t>
      </w:r>
    </w:p>
    <w:p>
      <w:pPr>
        <w:spacing w:line="276" w:lineRule="auto"/>
      </w:pPr>
      <w:r>
        <w:t>Auto-Hedging is enabled by default across all user portfolios. The core principles of the auto-hedging engine include:</w:t>
        <w:br/>
        <w:t>1. SQQQ Protective Allocation: When a macro hedge alert triggers, the engine allocates up to 10% of portfolio equity into SQQQ.</w:t>
        <w:br/>
        <w:t>2. Priority 0 Rotation: SQQQ rotation requests take absolute priority over any other simultaneous buy alerts.</w:t>
        <w:br/>
        <w:t>3. SQQQ Margin Clamp: When hedging is active or if buying power is depleted, the portfolio margin cap is tightened to 1.05x gross margin to prevent margin debt expansion.</w:t>
        <w:br/>
        <w:t>4. Telemetry Dashboard: You can monitor live hedge status, MA10 vs EMA25 trajectory, and active clamps via the '🛡️ Auto-Hedging Desk' tab.</w:t>
      </w:r>
    </w:p>
    <w:p>
      <w:pPr>
        <w:pStyle w:val="Heading1"/>
      </w:pPr>
      <w:r>
        <w:rPr>
          <w:rFonts w:ascii="Arial" w:hAnsi="Arial"/>
          <w:b/>
          <w:color w:val="1E3A8A"/>
        </w:rPr>
        <w:t>5. Multi-Exchange Auto-Trading &amp; Webhook Alert Receiver</w:t>
      </w:r>
    </w:p>
    <w:p>
      <w:pPr>
        <w:spacing w:line="276" w:lineRule="auto"/>
      </w:pPr>
      <w:r>
        <w:t>PhoenixAlgos provides automated algorithmic execution and webhook alert receiving across 5 supported major brokerages and exchanges:</w:t>
        <w:br/>
        <w:br/>
        <w:t>1. Alpaca.markets: Commission-free US equities, ETFs, and fractional share execution.</w:t>
        <w:br/>
        <w:t>2. Tradier: Low-cost US equity and options trading via standard REST API.</w:t>
        <w:br/>
        <w:t>3. TastyTrade: Modern options, futures, and stock trading via Open API.</w:t>
        <w:br/>
        <w:t>4. TradeStation: High-performance institutional order routing and multi-asset execution.</w:t>
        <w:br/>
        <w:t>5. Charles Schwab: Comprehensive retail and wealth brokerage via Schwab Trader API.</w:t>
        <w:br/>
        <w:br/>
        <w:t>Important Security &amp; Safety Guardrails:</w:t>
        <w:br/>
        <w:t>• Turned OFF by Default: The '⚡ Auto-Trading' checkbox is strictly turned OFF by default to prevent accidental executions.</w:t>
        <w:br/>
        <w:t>• API Verification Required: Auto-Trading can ONLY be enabled after you link and verify valid API credentials for your selected exchange.</w:t>
        <w:br/>
        <w:t>• Dynamic Alert Receiver: When Auto-Trading is checked and API keys are verified, your account's dedicated Webhook Alert Receiver becomes active. Any triggered buy/sell/hedge signal from TradingView will automatically dispatch to your connected exchange in real time.</w:t>
      </w:r>
    </w:p>
    <w:p>
      <w:pPr>
        <w:pStyle w:val="Heading1"/>
      </w:pPr>
      <w:r>
        <w:rPr>
          <w:rFonts w:ascii="Arial" w:hAnsi="Arial"/>
          <w:b/>
          <w:color w:val="1E3A8A"/>
        </w:rPr>
        <w:t>6. Dashboard Desks &amp; Navigation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2592"/>
            <w:shd w:fill="1E3A8A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r>
              <w:rPr>
                <w:rFonts w:ascii="Arial" w:hAnsi="Arial"/>
                <w:b/>
                <w:color w:val="FFFFFF"/>
                <w:sz w:val="19"/>
              </w:rPr>
              <w:t>Desk / Feature</w:t>
            </w:r>
          </w:p>
        </w:tc>
        <w:tc>
          <w:tcPr>
            <w:tcW w:type="dxa" w:w="2592"/>
            <w:shd w:fill="1E3A8A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r>
              <w:rPr>
                <w:rFonts w:ascii="Arial" w:hAnsi="Arial"/>
                <w:b/>
                <w:color w:val="FFFFFF"/>
                <w:sz w:val="19"/>
              </w:rPr>
              <w:t>Shortcut / Location</w:t>
            </w:r>
          </w:p>
        </w:tc>
        <w:tc>
          <w:tcPr>
            <w:tcW w:type="dxa" w:w="4896"/>
            <w:shd w:fill="1E3A8A"/>
            <w:tcMar>
              <w:top w:w="120" w:type="dxa"/>
              <w:bottom w:w="120" w:type="dxa"/>
              <w:left w:w="140" w:type="dxa"/>
              <w:right w:w="140" w:type="dxa"/>
            </w:tcMar>
          </w:tcPr>
          <w:p>
            <w:r>
              <w:rPr>
                <w:rFonts w:ascii="Arial" w:hAnsi="Arial"/>
                <w:b/>
                <w:color w:val="FFFFFF"/>
                <w:sz w:val="19"/>
              </w:rPr>
              <w:t>Key Functionality</w:t>
            </w:r>
          </w:p>
        </w:tc>
      </w:tr>
      <w:tr>
        <w:tc>
          <w:tcPr>
            <w:tcW w:type="dxa" w:w="2592"/>
            <w:shd w:fill="F8FAFC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color w:val="0F172A"/>
                <w:sz w:val="17"/>
              </w:rPr>
              <w:t>Dashboard (Home)</w:t>
            </w:r>
          </w:p>
        </w:tc>
        <w:tc>
          <w:tcPr>
            <w:tcW w:type="dxa" w:w="2592"/>
            <w:shd w:fill="F8FAFC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color w:val="0F172A"/>
                <w:sz w:val="17"/>
              </w:rPr>
              <w:t>Top Nav / Alt+1</w:t>
            </w:r>
          </w:p>
        </w:tc>
        <w:tc>
          <w:tcPr>
            <w:tcW w:type="dxa" w:w="4896"/>
            <w:shd w:fill="F8FAFC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color w:val="0F172A"/>
                <w:sz w:val="17"/>
              </w:rPr>
              <w:t>Portfolio value, day P&amp;L, buying power, live positions table, and SQQQ warning badge.</w:t>
            </w:r>
          </w:p>
        </w:tc>
      </w:tr>
      <w:tr>
        <w:tc>
          <w:tcPr>
            <w:tcW w:type="dxa" w:w="2592"/>
            <w:shd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color w:val="0F172A"/>
                <w:sz w:val="17"/>
              </w:rPr>
              <w:t>TradingView Charts</w:t>
            </w:r>
          </w:p>
        </w:tc>
        <w:tc>
          <w:tcPr>
            <w:tcW w:type="dxa" w:w="2592"/>
            <w:shd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color w:val="0F172A"/>
                <w:sz w:val="17"/>
              </w:rPr>
              <w:t>Charts Tab / Alt+2</w:t>
            </w:r>
          </w:p>
        </w:tc>
        <w:tc>
          <w:tcPr>
            <w:tcW w:type="dxa" w:w="4896"/>
            <w:shd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color w:val="0F172A"/>
                <w:sz w:val="17"/>
              </w:rPr>
              <w:t>Embedded real-time interactive technical analysis charts with timeframe and symbol switcher.</w:t>
            </w:r>
          </w:p>
        </w:tc>
      </w:tr>
      <w:tr>
        <w:tc>
          <w:tcPr>
            <w:tcW w:type="dxa" w:w="2592"/>
            <w:shd w:fill="F8FAFC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color w:val="0F172A"/>
                <w:sz w:val="17"/>
              </w:rPr>
              <w:t>Live Heatmap</w:t>
            </w:r>
          </w:p>
        </w:tc>
        <w:tc>
          <w:tcPr>
            <w:tcW w:type="dxa" w:w="2592"/>
            <w:shd w:fill="F8FAFC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color w:val="0F172A"/>
                <w:sz w:val="17"/>
              </w:rPr>
              <w:t>Heatmap Tab / Alt+3</w:t>
            </w:r>
          </w:p>
        </w:tc>
        <w:tc>
          <w:tcPr>
            <w:tcW w:type="dxa" w:w="4896"/>
            <w:shd w:fill="F8FAFC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color w:val="0F172A"/>
                <w:sz w:val="17"/>
              </w:rPr>
              <w:t>Market breadth visualizer showing sector performance and 30-day MoRet% trajectory rankings.</w:t>
            </w:r>
          </w:p>
        </w:tc>
      </w:tr>
      <w:tr>
        <w:tc>
          <w:tcPr>
            <w:tcW w:type="dxa" w:w="2592"/>
            <w:shd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color w:val="0F172A"/>
                <w:sz w:val="17"/>
              </w:rPr>
              <w:t>Auto-Hedging Desk</w:t>
            </w:r>
          </w:p>
        </w:tc>
        <w:tc>
          <w:tcPr>
            <w:tcW w:type="dxa" w:w="2592"/>
            <w:shd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color w:val="0F172A"/>
                <w:sz w:val="17"/>
              </w:rPr>
              <w:t>🛡️ Desk / Alt+4</w:t>
            </w:r>
          </w:p>
        </w:tc>
        <w:tc>
          <w:tcPr>
            <w:tcW w:type="dxa" w:w="4896"/>
            <w:shd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color w:val="0F172A"/>
                <w:sz w:val="17"/>
              </w:rPr>
              <w:t>SQQQ hedge telemetry cards, 1.05x clamp status, preflight checks, and architecture guide reader.</w:t>
            </w:r>
          </w:p>
        </w:tc>
      </w:tr>
      <w:tr>
        <w:tc>
          <w:tcPr>
            <w:tcW w:type="dxa" w:w="2592"/>
            <w:shd w:fill="F8FAFC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color w:val="0F172A"/>
                <w:sz w:val="17"/>
              </w:rPr>
              <w:t>Portfolio Switcher</w:t>
            </w:r>
          </w:p>
        </w:tc>
        <w:tc>
          <w:tcPr>
            <w:tcW w:type="dxa" w:w="2592"/>
            <w:shd w:fill="F8FAFC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color w:val="0F172A"/>
                <w:sz w:val="17"/>
              </w:rPr>
              <w:t>Top Bar Buttons</w:t>
            </w:r>
          </w:p>
        </w:tc>
        <w:tc>
          <w:tcPr>
            <w:tcW w:type="dxa" w:w="4896"/>
            <w:shd w:fill="F8FAFC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color w:val="0F172A"/>
                <w:sz w:val="17"/>
              </w:rPr>
              <w:t>Instantly switch between Paper Trading ($100k), Basic Alerts, ETF Only, Stock Only, and Alpha baskets.</w:t>
            </w:r>
          </w:p>
        </w:tc>
      </w:tr>
      <w:tr>
        <w:tc>
          <w:tcPr>
            <w:tcW w:type="dxa" w:w="2592"/>
            <w:shd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color w:val="0F172A"/>
                <w:sz w:val="17"/>
              </w:rPr>
              <w:t>Documentation</w:t>
            </w:r>
          </w:p>
        </w:tc>
        <w:tc>
          <w:tcPr>
            <w:tcW w:type="dxa" w:w="2592"/>
            <w:shd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color w:val="0F172A"/>
                <w:sz w:val="17"/>
              </w:rPr>
              <w:t>Docs Tab / Alt+5</w:t>
            </w:r>
          </w:p>
        </w:tc>
        <w:tc>
          <w:tcPr>
            <w:tcW w:type="dxa" w:w="4896"/>
            <w:shd w:fill="FFFFFF"/>
            <w:tcMar>
              <w:top w:w="90" w:type="dxa"/>
              <w:bottom w:w="90" w:type="dxa"/>
              <w:left w:w="120" w:type="dxa"/>
              <w:right w:w="120" w:type="dxa"/>
            </w:tcMar>
          </w:tcPr>
          <w:p>
            <w:r>
              <w:rPr>
                <w:rFonts w:ascii="Arial" w:hAnsi="Arial"/>
                <w:color w:val="0F172A"/>
                <w:sz w:val="17"/>
              </w:rPr>
              <w:t>Comprehensive setup manual, architecture whitepapers, and self-help guide downloads.</w:t>
            </w:r>
          </w:p>
        </w:tc>
      </w:tr>
    </w:tbl>
    <w:p>
      <w:pPr>
        <w:spacing w:after="160"/>
      </w:pPr>
    </w:p>
    <w:p>
      <w:pPr>
        <w:pStyle w:val="Heading1"/>
      </w:pPr>
      <w:r>
        <w:rPr>
          <w:rFonts w:ascii="Arial" w:hAnsi="Arial"/>
          <w:b/>
          <w:color w:val="1E3A8A"/>
        </w:rPr>
        <w:t>7. Self-Help FAQ &amp; Troubleshooting</w:t>
      </w:r>
    </w:p>
    <w:p>
      <w:r>
        <w:rPr>
          <w:rFonts w:ascii="Arial" w:hAnsi="Arial"/>
          <w:b/>
          <w:color w:val="1E3A8A"/>
          <w:sz w:val="19"/>
        </w:rPr>
        <w:t>Q: What happens if I click on Premium Alerts?</w:t>
      </w:r>
    </w:p>
    <w:p>
      <w:pPr>
        <w:spacing w:after="120"/>
      </w:pPr>
      <w:r>
        <w:rPr>
          <w:rFonts w:ascii="Arial" w:hAnsi="Arial"/>
          <w:color w:val="334155"/>
          <w:sz w:val="18"/>
        </w:rPr>
        <w:t>A: Premium Alerts contains the 526-ticker institutional optionable universe and is reserved for Pro / VIP subscribers. Basic and trial users see this button grayed out. Clicking it displays an upgrade notification and guides you to the subscription billing section.</w:t>
      </w:r>
    </w:p>
    <w:p>
      <w:r>
        <w:rPr>
          <w:rFonts w:ascii="Arial" w:hAnsi="Arial"/>
          <w:b/>
          <w:color w:val="1E3A8A"/>
          <w:sz w:val="19"/>
        </w:rPr>
        <w:t>Q: Which exchanges are supported for Auto-Trading?</w:t>
      </w:r>
    </w:p>
    <w:p>
      <w:pPr>
        <w:spacing w:after="120"/>
      </w:pPr>
      <w:r>
        <w:rPr>
          <w:rFonts w:ascii="Arial" w:hAnsi="Arial"/>
          <w:color w:val="334155"/>
          <w:sz w:val="18"/>
        </w:rPr>
        <w:t>A: PhoenixAlgos natively supports Alpaca.markets, Tradier, TastyTrade, TradeStation, and Charles Schwab. You can select your exchange from the Auto-Trading dropdown and link your API keys securely.</w:t>
      </w:r>
    </w:p>
    <w:p>
      <w:r>
        <w:rPr>
          <w:rFonts w:ascii="Arial" w:hAnsi="Arial"/>
          <w:b/>
          <w:color w:val="1E3A8A"/>
          <w:sz w:val="19"/>
        </w:rPr>
        <w:t>Q: Can I disable Auto-Hedging?</w:t>
      </w:r>
    </w:p>
    <w:p>
      <w:pPr>
        <w:spacing w:after="120"/>
      </w:pPr>
      <w:r>
        <w:rPr>
          <w:rFonts w:ascii="Arial" w:hAnsi="Arial"/>
          <w:color w:val="334155"/>
          <w:sz w:val="18"/>
        </w:rPr>
        <w:t>A: Yes. You can uncheck the 'Auto-Hedging' checkbox in the action bar at any time. However, keeping it enabled is strongly recommended to protect against sharp downside swings.</w:t>
      </w:r>
    </w:p>
    <w:p>
      <w:r>
        <w:rPr>
          <w:rFonts w:ascii="Arial" w:hAnsi="Arial"/>
          <w:b/>
          <w:color w:val="1E3A8A"/>
          <w:sz w:val="19"/>
        </w:rPr>
        <w:t>Q: Where do I reset my password?</w:t>
      </w:r>
    </w:p>
    <w:p>
      <w:pPr>
        <w:spacing w:after="120"/>
      </w:pPr>
      <w:r>
        <w:rPr>
          <w:rFonts w:ascii="Arial" w:hAnsi="Arial"/>
          <w:color w:val="334155"/>
          <w:sz w:val="18"/>
        </w:rPr>
        <w:t>A: On the login page, you can click '🎲 New Random' to generate a new 8-character password, or click 'Sign In with Google' for 1-click passwordless login.</w:t>
      </w:r>
    </w:p>
    <w:p>
      <w:r>
        <w:rPr>
          <w:rFonts w:ascii="Arial" w:hAnsi="Arial"/>
          <w:b/>
          <w:color w:val="1E3A8A"/>
          <w:sz w:val="19"/>
        </w:rPr>
        <w:t>Q: Are my broker credentials safe?</w:t>
      </w:r>
    </w:p>
    <w:p>
      <w:pPr>
        <w:spacing w:after="120"/>
      </w:pPr>
      <w:r>
        <w:rPr>
          <w:rFonts w:ascii="Arial" w:hAnsi="Arial"/>
          <w:color w:val="334155"/>
          <w:sz w:val="18"/>
        </w:rPr>
        <w:t>A: Yes. PhoenixAlgos employs non-custodial broker vaulting. All API keys are encrypted with AES-256-GCM, and web sessions use Bcrypt (cost 12) authentication. PhoenixAlgos never takes custody of funds.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Segoe UI" w:hAnsi="Segoe UI"/>
        <w:color w:val="6B7280"/>
        <w:sz w:val="17"/>
      </w:rPr>
      <w:t xml:space="preserve">Page </w:t>
    </w:r>
    <w:r>
      <w:fldSimple w:instr="PAGE"/>
    </w:r>
    <w:r>
      <w:rPr>
        <w:rFonts w:ascii="Segoe UI" w:hAnsi="Segoe UI"/>
        <w:color w:val="6B7280"/>
        <w:sz w:val="17"/>
      </w:rPr>
      <w:t xml:space="preserve"> of </w:t>
    </w:r>
    <w:r>
      <w:fldSimple w:instr="NUMPAGES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type="auto" w:w="0"/>
      <w:jc w:val="center"/>
      <w:tblLook w:firstColumn="1" w:firstRow="1" w:lastColumn="0" w:lastRow="0" w:noHBand="0" w:noVBand="1" w:val="04A0"/>
      <w:tblBorders>
        <w:top w:val="none"/>
        <w:left w:val="none"/>
        <w:bottom w:val="single" w:sz="6" w:space="0" w:color="E5E7EB"/>
        <w:right w:val="none"/>
        <w:insideH w:val="none"/>
        <w:insideV w:val="none"/>
      </w:tblBorders>
    </w:tblPr>
    <w:tblGrid>
      <w:gridCol w:w="3360"/>
      <w:gridCol w:w="3360"/>
      <w:gridCol w:w="3360"/>
    </w:tblGrid>
    <w:tr>
      <w:tc>
        <w:tcPr>
          <w:tcW w:type="dxa" w:w="3360"/>
        </w:tcPr>
        <w:p>
          <w:pPr>
            <w:jc w:val="left"/>
          </w:pPr>
          <w:r>
            <w:rPr>
              <w:rFonts w:ascii="Segoe UI" w:hAnsi="Segoe UI"/>
              <w:color w:val="6B7280"/>
              <w:sz w:val="17"/>
            </w:rPr>
            <w:t>Created: 15/09/2026</w:t>
          </w:r>
        </w:p>
      </w:tc>
      <w:tc>
        <w:tcPr>
          <w:tcW w:type="dxa" w:w="3360"/>
        </w:tcPr>
        <w:p>
          <w:pPr>
            <w:jc w:val="center"/>
          </w:pPr>
          <w:r>
            <w:rPr>
              <w:position w:val="-7"/>
            </w:rPr>
            <w:drawing>
              <wp:inline xmlns:a="http://schemas.openxmlformats.org/drawingml/2006/main" xmlns:pic="http://schemas.openxmlformats.org/drawingml/2006/picture">
                <wp:extent cx="219456" cy="20116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phoenix_icon_header_dark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456" cy="20116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r>
            <w:rPr>
              <w:rFonts w:ascii="Segoe UI Semibold" w:hAnsi="Segoe UI Semibold"/>
              <w:b/>
              <w:color w:val="1E3A8A"/>
              <w:sz w:val="20"/>
            </w:rPr>
            <w:t>PhoenixAlgos™</w:t>
          </w:r>
        </w:p>
      </w:tc>
      <w:tc>
        <w:tcPr>
          <w:tcW w:type="dxa" w:w="3360"/>
        </w:tcPr>
        <w:p>
          <w:pPr>
            <w:jc w:val="right"/>
          </w:pPr>
          <w:r>
            <w:rPr>
              <w:rFonts w:ascii="Segoe UI" w:hAnsi="Segoe UI"/>
              <w:color w:val="6B7280"/>
              <w:sz w:val="17"/>
            </w:rPr>
            <w:t>Updated: 23/09/2026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