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72A"/>
          <w:sz w:val="44"/>
        </w:rPr>
        <w:t>Automated Hedging &amp; Dynamic Risk Architecture Guide</w:t>
      </w:r>
    </w:p>
    <w:p>
      <w:pPr>
        <w:jc w:val="center"/>
      </w:pPr>
      <w:r>
        <w:rPr>
          <w:rFonts w:ascii="Arial" w:hAnsi="Arial"/>
          <w:i/>
          <w:color w:val="475569"/>
          <w:sz w:val="24"/>
        </w:rPr>
        <w:t>Comprehensive Operational Manual for alert-alpaca-go, GCP Cloud Run &amp; auto_trading_web</w:t>
      </w:r>
    </w:p>
    <w:p/>
    <w:tbl>
      <w:tblPr>
        <w:tblW w:type="auto" w:w="0"/>
        <w:jc w:val="center"/>
        <w:tblLook w:firstColumn="1" w:firstRow="1" w:lastColumn="0" w:lastRow="0" w:noHBand="0" w:noVBand="1" w:val="04A0"/>
      </w:tblPr>
      <w:tblGrid>
        <w:gridCol w:w="9360"/>
      </w:tblGrid>
      <w:tr>
        <w:tc>
          <w:tcPr>
            <w:tcW w:type="dxa" w:w="9360"/>
            <w:shd w:fill="F1F5F9"/>
            <w:tcMar>
              <w:top w:w="160" w:type="dxa"/>
              <w:bottom w:w="160" w:type="dxa"/>
              <w:left w:w="200" w:type="dxa"/>
              <w:right w:w="200" w:type="dxa"/>
            </w:tcMar>
          </w:tcPr>
          <w:p>
            <w:r>
              <w:rPr>
                <w:b/>
                <w:color w:val="1E293B"/>
                <w:sz w:val="22"/>
              </w:rPr>
              <w:t>🛡️ EXECUTIVE SUMMARY: DUAL-KEY AUTO-HEDGING ARCHITECTURE</w:t>
              <w:br/>
            </w:r>
            <w:r>
              <w:rPr>
                <w:color w:val="334155"/>
                <w:sz w:val="20"/>
              </w:rPr>
              <w:t>The Auto-Hedging system establishes an institutional-grade, multi-layered risk control framework protecting trading portfolios against sharp drawdowns, market crashes, and opening volatility. It decouples macroeconomic structural exposure (governed by CBOE VIX) from tactical micro momentum hedging (governed by 30-minute SQQQ MA10 vs EMA25 trends). When activated, the engine enforces strict exposure caps, halts non-core margin debt borrowing, executes smart Buying Power fallbacks, and initiates capital-preservation de-leveraging to maintain zero borrow debt.</w:t>
            </w:r>
          </w:p>
        </w:tc>
      </w:tr>
    </w:tbl>
    <w:p/>
    <w:p>
      <w:pPr>
        <w:pStyle w:val="Heading1"/>
      </w:pPr>
      <w:r>
        <w:rPr>
          <w:color w:val="1E293B"/>
        </w:rPr>
        <w:t>1. Dual-Key System Architecture</w:t>
      </w:r>
    </w:p>
    <w:p>
      <w:r>
        <w:t>Auto-hedging operates under two independent yet complementary supervisory layers:</w:t>
      </w:r>
    </w:p>
    <w:p>
      <w:pPr>
        <w:pStyle w:val="ListBullet"/>
      </w:pPr>
      <w:r>
        <w:rPr>
          <w:b/>
        </w:rPr>
        <w:t xml:space="preserve">Macro Structural Ceiling (CBOE VIX): </w:t>
      </w:r>
      <w:r>
        <w:t>Acts as the overarching portfolio exposure governor. When volatility is calm (VIX &lt; 13.5), the account operates in high-alpha offense mode with up to 2.0x gross exposure. As volatility surges, the ceiling dynamically steps down to 1.5x (Bull Trend), 1.25x (Elevated), 1.05x (Fear), and 0.80x (Crisis).</w:t>
      </w:r>
    </w:p>
    <w:p>
      <w:pPr>
        <w:pStyle w:val="ListBullet"/>
      </w:pPr>
      <w:r>
        <w:rPr>
          <w:b/>
        </w:rPr>
        <w:t xml:space="preserve">Micro Tactical Trigger (SQQQ 30-Minute Trend): </w:t>
      </w:r>
      <w:r>
        <w:t>Because our portfolio exhibits high beta to the Nasdaq-100 (~1.5x QQQ, ~1.95x SPX), SQQQ (-3x inverse) serves as an ultra-fast tactical tripwire. Entry into SQQQ is exclusively alert-driven via TradingView webhooks. As soon as SQQQ enters the portfolio and 30-min SMA(10) &gt; EMA(25), the SQQQ Clamp triggers immediately.</w:t>
      </w:r>
    </w:p>
    <w:p/>
    <w:p>
      <w:pPr>
        <w:pStyle w:val="Heading1"/>
      </w:pPr>
      <w:r>
        <w:rPr>
          <w:color w:val="1E293B"/>
        </w:rPr>
        <w:t>2. Dynamic VIX Margin Exposure Matrix</w:t>
      </w:r>
    </w:p>
    <w:p>
      <w:r>
        <w:t>The engine dynamically computes gross exposure and allowable margin debt using live CBOE VIX quotes:</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shd w:fill="0F172A"/>
            <w:tcMar>
              <w:top w:w="120" w:type="dxa"/>
              <w:bottom w:w="120" w:type="dxa"/>
              <w:left w:w="140" w:type="dxa"/>
              <w:right w:w="140" w:type="dxa"/>
            </w:tcMar>
          </w:tcPr>
          <w:p>
            <w:r>
              <w:rPr>
                <w:b/>
                <w:color w:val="FFFFFF"/>
                <w:sz w:val="19"/>
              </w:rPr>
              <w:t>VIX Range</w:t>
            </w:r>
          </w:p>
        </w:tc>
        <w:tc>
          <w:tcPr>
            <w:tcW w:type="dxa" w:w="1872"/>
            <w:shd w:fill="0F172A"/>
            <w:tcMar>
              <w:top w:w="120" w:type="dxa"/>
              <w:bottom w:w="120" w:type="dxa"/>
              <w:left w:w="140" w:type="dxa"/>
              <w:right w:w="140" w:type="dxa"/>
            </w:tcMar>
          </w:tcPr>
          <w:p>
            <w:r>
              <w:rPr>
                <w:b/>
                <w:color w:val="FFFFFF"/>
                <w:sz w:val="19"/>
              </w:rPr>
              <w:t>Regime Classification</w:t>
            </w:r>
          </w:p>
        </w:tc>
        <w:tc>
          <w:tcPr>
            <w:tcW w:type="dxa" w:w="1872"/>
            <w:shd w:fill="0F172A"/>
            <w:tcMar>
              <w:top w:w="120" w:type="dxa"/>
              <w:bottom w:w="120" w:type="dxa"/>
              <w:left w:w="140" w:type="dxa"/>
              <w:right w:w="140" w:type="dxa"/>
            </w:tcMar>
          </w:tcPr>
          <w:p>
            <w:r>
              <w:rPr>
                <w:b/>
                <w:color w:val="FFFFFF"/>
                <w:sz w:val="19"/>
              </w:rPr>
              <w:t>Max Gross Exposure</w:t>
            </w:r>
          </w:p>
        </w:tc>
        <w:tc>
          <w:tcPr>
            <w:tcW w:type="dxa" w:w="1872"/>
            <w:shd w:fill="0F172A"/>
            <w:tcMar>
              <w:top w:w="120" w:type="dxa"/>
              <w:bottom w:w="120" w:type="dxa"/>
              <w:left w:w="140" w:type="dxa"/>
              <w:right w:w="140" w:type="dxa"/>
            </w:tcMar>
          </w:tcPr>
          <w:p>
            <w:r>
              <w:rPr>
                <w:b/>
                <w:color w:val="FFFFFF"/>
                <w:sz w:val="19"/>
              </w:rPr>
              <w:t>Max Margin Debt</w:t>
            </w:r>
          </w:p>
        </w:tc>
        <w:tc>
          <w:tcPr>
            <w:tcW w:type="dxa" w:w="1872"/>
            <w:shd w:fill="0F172A"/>
            <w:tcMar>
              <w:top w:w="120" w:type="dxa"/>
              <w:bottom w:w="120" w:type="dxa"/>
              <w:left w:w="140" w:type="dxa"/>
              <w:right w:w="140" w:type="dxa"/>
            </w:tcMar>
          </w:tcPr>
          <w:p>
            <w:r>
              <w:rPr>
                <w:b/>
                <w:color w:val="FFFFFF"/>
                <w:sz w:val="19"/>
              </w:rPr>
              <w:t>Operational Mode</w:t>
            </w:r>
          </w:p>
        </w:tc>
      </w:tr>
      <w:tr>
        <w:tc>
          <w:tcPr>
            <w:tcW w:type="dxa" w:w="1872"/>
            <w:shd w:fill="F8FAFC"/>
            <w:tcMar>
              <w:top w:w="100" w:type="dxa"/>
              <w:bottom w:w="100" w:type="dxa"/>
              <w:left w:w="120" w:type="dxa"/>
              <w:right w:w="120" w:type="dxa"/>
            </w:tcMar>
          </w:tcPr>
          <w:p>
            <w:r>
              <w:rPr>
                <w:sz w:val="18"/>
              </w:rPr>
              <w:t>&lt; 13.5</w:t>
            </w:r>
          </w:p>
        </w:tc>
        <w:tc>
          <w:tcPr>
            <w:tcW w:type="dxa" w:w="1872"/>
            <w:shd w:fill="F8FAFC"/>
            <w:tcMar>
              <w:top w:w="100" w:type="dxa"/>
              <w:bottom w:w="100" w:type="dxa"/>
              <w:left w:w="120" w:type="dxa"/>
              <w:right w:w="120" w:type="dxa"/>
            </w:tcMar>
          </w:tcPr>
          <w:p>
            <w:r>
              <w:rPr>
                <w:sz w:val="18"/>
              </w:rPr>
              <w:t>Extreme Calm</w:t>
            </w:r>
          </w:p>
        </w:tc>
        <w:tc>
          <w:tcPr>
            <w:tcW w:type="dxa" w:w="1872"/>
            <w:shd w:fill="F8FAFC"/>
            <w:tcMar>
              <w:top w:w="100" w:type="dxa"/>
              <w:bottom w:w="100" w:type="dxa"/>
              <w:left w:w="120" w:type="dxa"/>
              <w:right w:w="120" w:type="dxa"/>
            </w:tcMar>
          </w:tcPr>
          <w:p>
            <w:r>
              <w:rPr>
                <w:b/>
                <w:sz w:val="18"/>
              </w:rPr>
              <w:t>2.00x</w:t>
            </w:r>
          </w:p>
        </w:tc>
        <w:tc>
          <w:tcPr>
            <w:tcW w:type="dxa" w:w="1872"/>
            <w:shd w:fill="F8FAFC"/>
            <w:tcMar>
              <w:top w:w="100" w:type="dxa"/>
              <w:bottom w:w="100" w:type="dxa"/>
              <w:left w:w="120" w:type="dxa"/>
              <w:right w:w="120" w:type="dxa"/>
            </w:tcMar>
          </w:tcPr>
          <w:p>
            <w:r>
              <w:rPr>
                <w:sz w:val="18"/>
              </w:rPr>
              <w:t>100% of Equity</w:t>
            </w:r>
          </w:p>
        </w:tc>
        <w:tc>
          <w:tcPr>
            <w:tcW w:type="dxa" w:w="1872"/>
            <w:shd w:fill="F8FAFC"/>
            <w:tcMar>
              <w:top w:w="100" w:type="dxa"/>
              <w:bottom w:w="100" w:type="dxa"/>
              <w:left w:w="120" w:type="dxa"/>
              <w:right w:w="120" w:type="dxa"/>
            </w:tcMar>
          </w:tcPr>
          <w:p>
            <w:r>
              <w:rPr>
                <w:sz w:val="18"/>
              </w:rPr>
              <w:t>Maximum Offensive Leverage</w:t>
            </w:r>
          </w:p>
        </w:tc>
      </w:tr>
      <w:tr>
        <w:tc>
          <w:tcPr>
            <w:tcW w:type="dxa" w:w="1872"/>
            <w:shd w:fill="FFFFFF"/>
            <w:tcMar>
              <w:top w:w="100" w:type="dxa"/>
              <w:bottom w:w="100" w:type="dxa"/>
              <w:left w:w="120" w:type="dxa"/>
              <w:right w:w="120" w:type="dxa"/>
            </w:tcMar>
          </w:tcPr>
          <w:p>
            <w:r>
              <w:rPr>
                <w:sz w:val="18"/>
              </w:rPr>
              <w:t>13.5 – 15.5</w:t>
            </w:r>
          </w:p>
        </w:tc>
        <w:tc>
          <w:tcPr>
            <w:tcW w:type="dxa" w:w="1872"/>
            <w:shd w:fill="FFFFFF"/>
            <w:tcMar>
              <w:top w:w="100" w:type="dxa"/>
              <w:bottom w:w="100" w:type="dxa"/>
              <w:left w:w="120" w:type="dxa"/>
              <w:right w:w="120" w:type="dxa"/>
            </w:tcMar>
          </w:tcPr>
          <w:p>
            <w:r>
              <w:rPr>
                <w:sz w:val="18"/>
              </w:rPr>
              <w:t>Bull Trend</w:t>
            </w:r>
          </w:p>
        </w:tc>
        <w:tc>
          <w:tcPr>
            <w:tcW w:type="dxa" w:w="1872"/>
            <w:shd w:fill="FFFFFF"/>
            <w:tcMar>
              <w:top w:w="100" w:type="dxa"/>
              <w:bottom w:w="100" w:type="dxa"/>
              <w:left w:w="120" w:type="dxa"/>
              <w:right w:w="120" w:type="dxa"/>
            </w:tcMar>
          </w:tcPr>
          <w:p>
            <w:r>
              <w:rPr>
                <w:b/>
                <w:sz w:val="18"/>
              </w:rPr>
              <w:t>1.50x</w:t>
            </w:r>
          </w:p>
        </w:tc>
        <w:tc>
          <w:tcPr>
            <w:tcW w:type="dxa" w:w="1872"/>
            <w:shd w:fill="FFFFFF"/>
            <w:tcMar>
              <w:top w:w="100" w:type="dxa"/>
              <w:bottom w:w="100" w:type="dxa"/>
              <w:left w:w="120" w:type="dxa"/>
              <w:right w:w="120" w:type="dxa"/>
            </w:tcMar>
          </w:tcPr>
          <w:p>
            <w:r>
              <w:rPr>
                <w:sz w:val="18"/>
              </w:rPr>
              <w:t>50% of Equity</w:t>
            </w:r>
          </w:p>
        </w:tc>
        <w:tc>
          <w:tcPr>
            <w:tcW w:type="dxa" w:w="1872"/>
            <w:shd w:fill="FFFFFF"/>
            <w:tcMar>
              <w:top w:w="100" w:type="dxa"/>
              <w:bottom w:w="100" w:type="dxa"/>
              <w:left w:w="120" w:type="dxa"/>
              <w:right w:w="120" w:type="dxa"/>
            </w:tcMar>
          </w:tcPr>
          <w:p>
            <w:r>
              <w:rPr>
                <w:sz w:val="18"/>
              </w:rPr>
              <w:t>Controlled Alpha Growth</w:t>
            </w:r>
          </w:p>
        </w:tc>
      </w:tr>
      <w:tr>
        <w:tc>
          <w:tcPr>
            <w:tcW w:type="dxa" w:w="1872"/>
            <w:shd w:fill="F8FAFC"/>
            <w:tcMar>
              <w:top w:w="100" w:type="dxa"/>
              <w:bottom w:w="100" w:type="dxa"/>
              <w:left w:w="120" w:type="dxa"/>
              <w:right w:w="120" w:type="dxa"/>
            </w:tcMar>
          </w:tcPr>
          <w:p>
            <w:r>
              <w:rPr>
                <w:sz w:val="18"/>
              </w:rPr>
              <w:t>15.5 – 20.0</w:t>
            </w:r>
          </w:p>
        </w:tc>
        <w:tc>
          <w:tcPr>
            <w:tcW w:type="dxa" w:w="1872"/>
            <w:shd w:fill="F8FAFC"/>
            <w:tcMar>
              <w:top w:w="100" w:type="dxa"/>
              <w:bottom w:w="100" w:type="dxa"/>
              <w:left w:w="120" w:type="dxa"/>
              <w:right w:w="120" w:type="dxa"/>
            </w:tcMar>
          </w:tcPr>
          <w:p>
            <w:r>
              <w:rPr>
                <w:sz w:val="18"/>
              </w:rPr>
              <w:t>Elevated Noise</w:t>
            </w:r>
          </w:p>
        </w:tc>
        <w:tc>
          <w:tcPr>
            <w:tcW w:type="dxa" w:w="1872"/>
            <w:shd w:fill="F8FAFC"/>
            <w:tcMar>
              <w:top w:w="100" w:type="dxa"/>
              <w:bottom w:w="100" w:type="dxa"/>
              <w:left w:w="120" w:type="dxa"/>
              <w:right w:w="120" w:type="dxa"/>
            </w:tcMar>
          </w:tcPr>
          <w:p>
            <w:r>
              <w:rPr>
                <w:b/>
                <w:sz w:val="18"/>
              </w:rPr>
              <w:t>1.25x</w:t>
            </w:r>
          </w:p>
        </w:tc>
        <w:tc>
          <w:tcPr>
            <w:tcW w:type="dxa" w:w="1872"/>
            <w:shd w:fill="F8FAFC"/>
            <w:tcMar>
              <w:top w:w="100" w:type="dxa"/>
              <w:bottom w:w="100" w:type="dxa"/>
              <w:left w:w="120" w:type="dxa"/>
              <w:right w:w="120" w:type="dxa"/>
            </w:tcMar>
          </w:tcPr>
          <w:p>
            <w:r>
              <w:rPr>
                <w:sz w:val="18"/>
              </w:rPr>
              <w:t>25% of Equity</w:t>
            </w:r>
          </w:p>
        </w:tc>
        <w:tc>
          <w:tcPr>
            <w:tcW w:type="dxa" w:w="1872"/>
            <w:shd w:fill="F8FAFC"/>
            <w:tcMar>
              <w:top w:w="100" w:type="dxa"/>
              <w:bottom w:w="100" w:type="dxa"/>
              <w:left w:w="120" w:type="dxa"/>
              <w:right w:w="120" w:type="dxa"/>
            </w:tcMar>
          </w:tcPr>
          <w:p>
            <w:r>
              <w:rPr>
                <w:sz w:val="18"/>
              </w:rPr>
              <w:t>Standard Baseline</w:t>
            </w:r>
          </w:p>
        </w:tc>
      </w:tr>
      <w:tr>
        <w:tc>
          <w:tcPr>
            <w:tcW w:type="dxa" w:w="1872"/>
            <w:shd w:fill="FFFFFF"/>
            <w:tcMar>
              <w:top w:w="100" w:type="dxa"/>
              <w:bottom w:w="100" w:type="dxa"/>
              <w:left w:w="120" w:type="dxa"/>
              <w:right w:w="120" w:type="dxa"/>
            </w:tcMar>
          </w:tcPr>
          <w:p>
            <w:r>
              <w:rPr>
                <w:sz w:val="18"/>
              </w:rPr>
              <w:t>20.0 – 25.0</w:t>
            </w:r>
          </w:p>
        </w:tc>
        <w:tc>
          <w:tcPr>
            <w:tcW w:type="dxa" w:w="1872"/>
            <w:shd w:fill="FFFFFF"/>
            <w:tcMar>
              <w:top w:w="100" w:type="dxa"/>
              <w:bottom w:w="100" w:type="dxa"/>
              <w:left w:w="120" w:type="dxa"/>
              <w:right w:w="120" w:type="dxa"/>
            </w:tcMar>
          </w:tcPr>
          <w:p>
            <w:r>
              <w:rPr>
                <w:sz w:val="18"/>
              </w:rPr>
              <w:t>Fear / Spike</w:t>
            </w:r>
          </w:p>
        </w:tc>
        <w:tc>
          <w:tcPr>
            <w:tcW w:type="dxa" w:w="1872"/>
            <w:shd w:fill="FFFFFF"/>
            <w:tcMar>
              <w:top w:w="100" w:type="dxa"/>
              <w:bottom w:w="100" w:type="dxa"/>
              <w:left w:w="120" w:type="dxa"/>
              <w:right w:w="120" w:type="dxa"/>
            </w:tcMar>
          </w:tcPr>
          <w:p>
            <w:r>
              <w:rPr>
                <w:b/>
                <w:sz w:val="18"/>
              </w:rPr>
              <w:t>1.05x</w:t>
            </w:r>
          </w:p>
        </w:tc>
        <w:tc>
          <w:tcPr>
            <w:tcW w:type="dxa" w:w="1872"/>
            <w:shd w:fill="FFFFFF"/>
            <w:tcMar>
              <w:top w:w="100" w:type="dxa"/>
              <w:bottom w:w="100" w:type="dxa"/>
              <w:left w:w="120" w:type="dxa"/>
              <w:right w:w="120" w:type="dxa"/>
            </w:tcMar>
          </w:tcPr>
          <w:p>
            <w:r>
              <w:rPr>
                <w:sz w:val="18"/>
              </w:rPr>
              <w:t>5% of Equity</w:t>
            </w:r>
          </w:p>
        </w:tc>
        <w:tc>
          <w:tcPr>
            <w:tcW w:type="dxa" w:w="1872"/>
            <w:shd w:fill="FFFFFF"/>
            <w:tcMar>
              <w:top w:w="100" w:type="dxa"/>
              <w:bottom w:w="100" w:type="dxa"/>
              <w:left w:w="120" w:type="dxa"/>
              <w:right w:w="120" w:type="dxa"/>
            </w:tcMar>
          </w:tcPr>
          <w:p>
            <w:r>
              <w:rPr>
                <w:sz w:val="18"/>
              </w:rPr>
              <w:t>De-leveraging to Cash Buffer</w:t>
            </w:r>
          </w:p>
        </w:tc>
      </w:tr>
      <w:tr>
        <w:tc>
          <w:tcPr>
            <w:tcW w:type="dxa" w:w="1872"/>
            <w:shd w:fill="F8FAFC"/>
            <w:tcMar>
              <w:top w:w="100" w:type="dxa"/>
              <w:bottom w:w="100" w:type="dxa"/>
              <w:left w:w="120" w:type="dxa"/>
              <w:right w:w="120" w:type="dxa"/>
            </w:tcMar>
          </w:tcPr>
          <w:p>
            <w:r>
              <w:rPr>
                <w:sz w:val="18"/>
              </w:rPr>
              <w:t>&gt; 25.0</w:t>
            </w:r>
          </w:p>
        </w:tc>
        <w:tc>
          <w:tcPr>
            <w:tcW w:type="dxa" w:w="1872"/>
            <w:shd w:fill="F8FAFC"/>
            <w:tcMar>
              <w:top w:w="100" w:type="dxa"/>
              <w:bottom w:w="100" w:type="dxa"/>
              <w:left w:w="120" w:type="dxa"/>
              <w:right w:w="120" w:type="dxa"/>
            </w:tcMar>
          </w:tcPr>
          <w:p>
            <w:r>
              <w:rPr>
                <w:sz w:val="18"/>
              </w:rPr>
              <w:t>Crisis / Crash</w:t>
            </w:r>
          </w:p>
        </w:tc>
        <w:tc>
          <w:tcPr>
            <w:tcW w:type="dxa" w:w="1872"/>
            <w:shd w:fill="F8FAFC"/>
            <w:tcMar>
              <w:top w:w="100" w:type="dxa"/>
              <w:bottom w:w="100" w:type="dxa"/>
              <w:left w:w="120" w:type="dxa"/>
              <w:right w:w="120" w:type="dxa"/>
            </w:tcMar>
          </w:tcPr>
          <w:p>
            <w:r>
              <w:rPr>
                <w:b/>
                <w:sz w:val="18"/>
              </w:rPr>
              <w:t>0.80x</w:t>
            </w:r>
          </w:p>
        </w:tc>
        <w:tc>
          <w:tcPr>
            <w:tcW w:type="dxa" w:w="1872"/>
            <w:shd w:fill="F8FAFC"/>
            <w:tcMar>
              <w:top w:w="100" w:type="dxa"/>
              <w:bottom w:w="100" w:type="dxa"/>
              <w:left w:w="120" w:type="dxa"/>
              <w:right w:w="120" w:type="dxa"/>
            </w:tcMar>
          </w:tcPr>
          <w:p>
            <w:r>
              <w:rPr>
                <w:sz w:val="18"/>
              </w:rPr>
              <w:t>0% (20% Cash Target)</w:t>
            </w:r>
          </w:p>
        </w:tc>
        <w:tc>
          <w:tcPr>
            <w:tcW w:type="dxa" w:w="1872"/>
            <w:shd w:fill="F8FAFC"/>
            <w:tcMar>
              <w:top w:w="100" w:type="dxa"/>
              <w:bottom w:w="100" w:type="dxa"/>
              <w:left w:w="120" w:type="dxa"/>
              <w:right w:w="120" w:type="dxa"/>
            </w:tcMar>
          </w:tcPr>
          <w:p>
            <w:r>
              <w:rPr>
                <w:sz w:val="18"/>
              </w:rPr>
              <w:t>Capital Preservation</w:t>
            </w:r>
          </w:p>
        </w:tc>
      </w:tr>
    </w:tbl>
    <w:p/>
    <w:p>
      <w:pPr>
        <w:pStyle w:val="Heading1"/>
      </w:pPr>
      <w:r>
        <w:rPr>
          <w:color w:val="1E293B"/>
        </w:rPr>
        <w:t>3. The SQQQ Clamp &amp; Buying Power Fallback Rules</w:t>
      </w:r>
    </w:p>
    <w:p>
      <w:r>
        <w:rPr>
          <w:b/>
        </w:rPr>
        <w:t>Rule 1: Alert-Driven Entry Only</w:t>
        <w:br/>
      </w:r>
      <w:r>
        <w:t>SQQQ purchases are NEVER initiated by background scripts or automated polling. They are triggered strictly by verified TradingView webhook alerts sent from user-configured Pine Script strategies.</w:t>
      </w:r>
    </w:p>
    <w:p>
      <w:r>
        <w:rPr>
          <w:b/>
        </w:rPr>
        <w:t>Rule 2: Smart Buying Power Sizing Fallback</w:t>
        <w:br/>
      </w:r>
      <w:r>
        <w:t>When an incoming Buy SQQQ alert arrives, the engine evaluates available broker Buying Power:</w:t>
        <w:br/>
        <w:t>• If Buying Power is sufficient for the core target allocation (10%), the full order executes.</w:t>
        <w:br/>
        <w:t>• If Buying Power is positive but less than the target amount, the engine buys as much as Buying Power allows (down to the $100 minimum trade threshold with a 2% slippage/fee buffer).</w:t>
        <w:br/>
        <w:t>• If Buying Power is &lt;= $0 (or &lt; $100), the order cannot execute immediately, but the engine IMMEDIATELY arms the SQQQ Clamp and enters emergency de-leveraging mode as if SQQQ was purchased.</w:t>
      </w:r>
    </w:p>
    <w:p>
      <w:r>
        <w:rPr>
          <w:b/>
        </w:rPr>
        <w:t>Rule 3: Gross Exposure Clamping (1.05x Ceiling / 1.00x Cash Target)</w:t>
        <w:br/>
      </w:r>
      <w:r>
        <w:t>While the SQQQ Clamp is active:</w:t>
        <w:br/>
        <w:t>• Total gross portfolio exposure is strictly capped at &lt;= 1.05x.</w:t>
        <w:br/>
        <w:t>• Discretionary stock buys are restricted to 1.00x settled cash (allowMargin = false).</w:t>
        <w:br/>
        <w:t>• Automated de-leveraging scripts (auto_delevel.py) trim worst-performing laggards until margin debt is $0.00.</w:t>
      </w:r>
    </w:p>
    <w:p/>
    <w:p>
      <w:pPr>
        <w:pStyle w:val="Heading1"/>
      </w:pPr>
      <w:r>
        <w:rPr>
          <w:color w:val="1E293B"/>
        </w:rPr>
        <w:t>4. Dashboard Warning Badge &amp; Triple Dismissal Rules</w:t>
      </w:r>
    </w:p>
    <w:p>
      <w:r>
        <w:t>Whenever a Buy SQQQ alert is received but cannot be filled due to $0 Buying Power, a persistent amber warning banner is rendered on the auto_trading_web dashboard header next to the US Market Status indicator:</w:t>
      </w:r>
    </w:p>
    <w:tbl>
      <w:tblPr>
        <w:tblW w:type="auto" w:w="0"/>
        <w:jc w:val="center"/>
        <w:tblLook w:firstColumn="1" w:firstRow="1" w:lastColumn="0" w:lastRow="0" w:noHBand="0" w:noVBand="1" w:val="04A0"/>
      </w:tblPr>
      <w:tblGrid>
        <w:gridCol w:w="9360"/>
      </w:tblGrid>
      <w:tr>
        <w:tc>
          <w:tcPr>
            <w:tcW w:type="dxa" w:w="9360"/>
            <w:shd w:fill="FEF3C7"/>
            <w:tcMar>
              <w:top w:w="120" w:type="dxa"/>
              <w:bottom w:w="120" w:type="dxa"/>
              <w:left w:w="160" w:type="dxa"/>
              <w:right w:w="160" w:type="dxa"/>
            </w:tcMar>
          </w:tcPr>
          <w:p>
            <w:r>
              <w:rPr>
                <w:b/>
                <w:color w:val="92400E"/>
                <w:sz w:val="20"/>
              </w:rPr>
              <w:t>⚠️ HEDGE DEFICIT: Buy SQQQ active with $0 Buying Power! Emergency de-leveraging active.</w:t>
              <w:br/>
            </w:r>
            <w:r>
              <w:rPr>
                <w:color w:val="B45309"/>
                <w:sz w:val="18"/>
              </w:rPr>
              <w:t>The portfolio gross exposure is locked to &lt;= 1.05x and cash-only stock purchases until the deficit clears.</w:t>
            </w:r>
          </w:p>
        </w:tc>
      </w:tr>
    </w:tbl>
    <w:p/>
    <w:p>
      <w:r>
        <w:t>This warning and the emergency deficit clamp remain active until ANY of the following 3 conditions occur:</w:t>
      </w:r>
    </w:p>
    <w:p>
      <w:pPr>
        <w:pStyle w:val="ListBullet"/>
      </w:pPr>
      <w:r>
        <w:rPr>
          <w:b/>
        </w:rPr>
        <w:t xml:space="preserve">Condition 1 (SQQQ is Bought): </w:t>
      </w:r>
      <w:r>
        <w:t>As soon as SQQQ shares enter the portfolio (Qty &gt; 0), the deficit warning auto-resolves.</w:t>
      </w:r>
    </w:p>
    <w:p>
      <w:pPr>
        <w:pStyle w:val="ListBullet"/>
      </w:pPr>
      <w:r>
        <w:rPr>
          <w:b/>
        </w:rPr>
        <w:t xml:space="preserve">Condition 2 (SQQQ Sell Alert Received): </w:t>
      </w:r>
      <w:r>
        <w:t>When TradingView sends a Sell SQQQ alert, the hedge is deemed concluded and the warning auto-clears.</w:t>
      </w:r>
    </w:p>
    <w:p>
      <w:pPr>
        <w:pStyle w:val="ListBullet"/>
      </w:pPr>
      <w:r>
        <w:rPr>
          <w:b/>
        </w:rPr>
        <w:t xml:space="preserve">Condition 3 (SQQQ 30m SMA10 &lt;= EMA25): </w:t>
      </w:r>
      <w:r>
        <w:t>When the 30-minute SQQQ momentum trend turns flat or bearish, the warning auto-clears.</w:t>
      </w:r>
    </w:p>
    <w:p/>
    <w:p>
      <w:pPr>
        <w:pStyle w:val="Heading1"/>
      </w:pPr>
      <w:r>
        <w:rPr>
          <w:color w:val="1E293B"/>
        </w:rPr>
        <w:t>5. Capital Rotation (`swap`) Priority Mandate</w:t>
      </w:r>
    </w:p>
    <w:p>
      <w:r>
        <w:t>In all capital rotation audits (`swap`, `swap safe`, `swap top`):</w:t>
        <w:br/>
        <w:t>• SQQQ is elevated to Priority 0 (First Place) whenever present as an unfilled alert or hedge candidate.</w:t>
        <w:br/>
        <w:t>• SQQQ automatically pairs with the account's lowest-performing breakdown holding as Pair #1 to fund the hedge.</w:t>
        <w:br/>
        <w:t>• All subsequent rotation pairs (Pairs #2+) are classified as subordinate, requiring re-evaluation under the 1.05x clamp.</w:t>
      </w:r>
    </w:p>
    <w:p/>
    <w:p>
      <w:r>
        <w:rPr>
          <w:i/>
          <w:color w:val="94A3B8"/>
          <w:sz w:val="17"/>
        </w:rPr>
        <w:t>Document Version: 2.0 | Last Updated: September 10, 2026 | System: alert-alpaca-go &amp; auto_trading_web</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egoe UI" w:hAnsi="Segoe UI"/>
        <w:color w:val="6B7280"/>
        <w:sz w:val="17"/>
      </w:rPr>
      <w:t xml:space="preserve">Page </w:t>
    </w:r>
    <w:r>
      <w:fldSimple w:instr="PAGE"/>
    </w:r>
    <w:r>
      <w:rPr>
        <w:rFonts w:ascii="Segoe UI" w:hAnsi="Segoe UI"/>
        <w:color w:val="6B7280"/>
        <w:sz w:val="17"/>
      </w:rPr>
      <w:t xml:space="preserve"> of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jc w:val="center"/>
      <w:tblLook w:firstColumn="1" w:firstRow="1" w:lastColumn="0" w:lastRow="0" w:noHBand="0" w:noVBand="1" w:val="04A0"/>
      <w:tblBorders>
        <w:top w:val="none"/>
        <w:left w:val="none"/>
        <w:bottom w:val="single" w:sz="6" w:space="0" w:color="E5E7EB"/>
        <w:right w:val="none"/>
        <w:insideH w:val="none"/>
        <w:insideV w:val="none"/>
      </w:tblBorders>
    </w:tblPr>
    <w:tblGrid>
      <w:gridCol w:w="3360"/>
      <w:gridCol w:w="3360"/>
      <w:gridCol w:w="3360"/>
    </w:tblGrid>
    <w:tr>
      <w:tc>
        <w:tcPr>
          <w:tcW w:type="dxa" w:w="3360"/>
        </w:tcPr>
        <w:p>
          <w:pPr>
            <w:jc w:val="left"/>
          </w:pPr>
          <w:r>
            <w:rPr>
              <w:rFonts w:ascii="Segoe UI" w:hAnsi="Segoe UI"/>
              <w:color w:val="6B7280"/>
              <w:sz w:val="17"/>
            </w:rPr>
            <w:t>Created: 15/09/2026</w:t>
          </w:r>
        </w:p>
      </w:tc>
      <w:tc>
        <w:tcPr>
          <w:tcW w:type="dxa" w:w="3360"/>
        </w:tcPr>
        <w:p>
          <w:pPr>
            <w:jc w:val="center"/>
          </w:pPr>
          <w:r>
            <w:rPr>
              <w:position w:val="-7"/>
            </w:rPr>
            <w:drawing>
              <wp:inline xmlns:a="http://schemas.openxmlformats.org/drawingml/2006/main" xmlns:pic="http://schemas.openxmlformats.org/drawingml/2006/picture">
                <wp:extent cx="219456" cy="201168"/>
                <wp:docPr id="1" name="Picture 1"/>
                <wp:cNvGraphicFramePr>
                  <a:graphicFrameLocks noChangeAspect="1"/>
                </wp:cNvGraphicFramePr>
                <a:graphic>
                  <a:graphicData uri="http://schemas.openxmlformats.org/drawingml/2006/picture">
                    <pic:pic>
                      <pic:nvPicPr>
                        <pic:cNvPr id="0" name="phoenix_icon_header_dark.png"/>
                        <pic:cNvPicPr/>
                      </pic:nvPicPr>
                      <pic:blipFill>
                        <a:blip r:embed="rId2"/>
                        <a:stretch>
                          <a:fillRect/>
                        </a:stretch>
                      </pic:blipFill>
                      <pic:spPr>
                        <a:xfrm>
                          <a:off x="0" y="0"/>
                          <a:ext cx="219456" cy="201168"/>
                        </a:xfrm>
                        <a:prstGeom prst="rect"/>
                      </pic:spPr>
                    </pic:pic>
                  </a:graphicData>
                </a:graphic>
              </wp:inline>
            </w:drawing>
          </w:r>
          <w:r>
            <w:t xml:space="preserve"> </w:t>
          </w:r>
          <w:r>
            <w:rPr>
              <w:rFonts w:ascii="Segoe UI Semibold" w:hAnsi="Segoe UI Semibold"/>
              <w:b/>
              <w:color w:val="1E3A8A"/>
              <w:sz w:val="20"/>
            </w:rPr>
            <w:t>PhoenixAlgos™</w:t>
          </w:r>
        </w:p>
      </w:tc>
      <w:tc>
        <w:tcPr>
          <w:tcW w:type="dxa" w:w="3360"/>
        </w:tcPr>
        <w:p>
          <w:pPr>
            <w:jc w:val="right"/>
          </w:pPr>
          <w:r>
            <w:rPr>
              <w:rFonts w:ascii="Segoe UI" w:hAnsi="Segoe UI"/>
              <w:color w:val="6B7280"/>
              <w:sz w:val="17"/>
            </w:rPr>
            <w:t>Updated: 23/09/2026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